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62E7" w:rsidRDefault="00BF62E7">
      <w:pPr>
        <w:pStyle w:val="ad"/>
        <w:spacing w:after="320"/>
        <w:rPr>
          <w:sz w:val="24"/>
          <w:szCs w:val="24"/>
        </w:rPr>
      </w:pPr>
      <w:r>
        <w:t xml:space="preserve">Руководство по </w:t>
      </w:r>
      <w:r w:rsidR="00BC480B">
        <w:t>оформлению</w:t>
      </w:r>
      <w:r w:rsidR="00BC480B">
        <w:br/>
        <w:t xml:space="preserve">полных и коротких </w:t>
      </w:r>
      <w:r>
        <w:t xml:space="preserve">статей на конференцию </w:t>
      </w:r>
      <w:proofErr w:type="gramStart"/>
      <w:r>
        <w:t>ПаВТ</w:t>
      </w:r>
      <w:r>
        <w:br/>
        <w:t>(</w:t>
      </w:r>
      <w:proofErr w:type="gramEnd"/>
      <w:r>
        <w:t xml:space="preserve">документ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Word</w:t>
      </w:r>
      <w:r>
        <w:t>)</w:t>
      </w:r>
      <w:r>
        <w:rPr>
          <w:rStyle w:val="FootnoteCharacters"/>
        </w:rPr>
        <w:footnoteReference w:customMarkFollows="1" w:id="1"/>
        <w:t>*</w:t>
      </w:r>
    </w:p>
    <w:p w:rsidR="00BF62E7" w:rsidRDefault="00BF62E7">
      <w:pPr>
        <w:pStyle w:val="ae"/>
      </w:pPr>
      <w:r>
        <w:rPr>
          <w:sz w:val="24"/>
          <w:szCs w:val="24"/>
        </w:rPr>
        <w:t>А.Б. Первый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В.Г. Второй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Д.Е. Третий</w:t>
      </w:r>
      <w:r>
        <w:rPr>
          <w:sz w:val="24"/>
          <w:szCs w:val="24"/>
          <w:vertAlign w:val="superscript"/>
        </w:rPr>
        <w:t>2</w:t>
      </w:r>
    </w:p>
    <w:p w:rsidR="00BF62E7" w:rsidRDefault="00BF62E7">
      <w:pPr>
        <w:pStyle w:val="af6"/>
        <w:spacing w:after="320"/>
        <w:rPr>
          <w:sz w:val="20"/>
          <w:szCs w:val="20"/>
        </w:rPr>
      </w:pPr>
      <w:r>
        <w:t>ОрганизацияA</w:t>
      </w:r>
      <w:r w:rsidRPr="007C6D64">
        <w:rPr>
          <w:vertAlign w:val="superscript"/>
        </w:rPr>
        <w:t>1</w:t>
      </w:r>
      <w:r w:rsidRPr="007C6D64">
        <w:t>,</w:t>
      </w:r>
      <w:r>
        <w:t xml:space="preserve"> Организация</w:t>
      </w:r>
      <w:r>
        <w:rPr>
          <w:lang w:val="en-US"/>
        </w:rPr>
        <w:t>B</w:t>
      </w:r>
      <w:r w:rsidRPr="007C6D64">
        <w:rPr>
          <w:vertAlign w:val="superscript"/>
        </w:rPr>
        <w:t>2</w:t>
      </w:r>
    </w:p>
    <w:p w:rsidR="007C6D64" w:rsidRPr="00FC6045" w:rsidRDefault="00BF62E7" w:rsidP="00FC6045">
      <w:pPr>
        <w:pStyle w:val="afe"/>
        <w:spacing w:after="320"/>
        <w:ind w:left="851" w:right="848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Аннотация содержит краткое описание статьи и не должна превышать 10 строк. Она оформл</w:t>
      </w:r>
      <w:r>
        <w:rPr>
          <w:b w:val="0"/>
          <w:sz w:val="20"/>
          <w:szCs w:val="20"/>
        </w:rPr>
        <w:t>я</w:t>
      </w:r>
      <w:r>
        <w:rPr>
          <w:b w:val="0"/>
          <w:sz w:val="20"/>
          <w:szCs w:val="20"/>
        </w:rPr>
        <w:t xml:space="preserve">ется шрифтом </w:t>
      </w:r>
      <w:r w:rsidRPr="00FC6045">
        <w:rPr>
          <w:b w:val="0"/>
          <w:sz w:val="20"/>
          <w:szCs w:val="20"/>
        </w:rPr>
        <w:t>Times</w:t>
      </w:r>
      <w:r>
        <w:rPr>
          <w:b w:val="0"/>
          <w:sz w:val="20"/>
          <w:szCs w:val="20"/>
        </w:rPr>
        <w:t xml:space="preserve"> </w:t>
      </w:r>
      <w:r w:rsidRPr="00FC6045">
        <w:rPr>
          <w:b w:val="0"/>
          <w:sz w:val="20"/>
          <w:szCs w:val="20"/>
        </w:rPr>
        <w:t>New</w:t>
      </w:r>
      <w:r>
        <w:rPr>
          <w:b w:val="0"/>
          <w:sz w:val="20"/>
          <w:szCs w:val="20"/>
        </w:rPr>
        <w:t xml:space="preserve"> </w:t>
      </w:r>
      <w:r w:rsidRPr="00FC6045">
        <w:rPr>
          <w:b w:val="0"/>
          <w:sz w:val="20"/>
          <w:szCs w:val="20"/>
        </w:rPr>
        <w:t>Roman</w:t>
      </w:r>
      <w:r>
        <w:rPr>
          <w:b w:val="0"/>
          <w:sz w:val="20"/>
          <w:szCs w:val="20"/>
        </w:rPr>
        <w:t xml:space="preserve"> размером 10 </w:t>
      </w:r>
      <w:proofErr w:type="spellStart"/>
      <w:r>
        <w:rPr>
          <w:b w:val="0"/>
          <w:sz w:val="20"/>
          <w:szCs w:val="20"/>
        </w:rPr>
        <w:t>пт</w:t>
      </w:r>
      <w:proofErr w:type="spellEnd"/>
      <w:r>
        <w:rPr>
          <w:b w:val="0"/>
          <w:sz w:val="20"/>
          <w:szCs w:val="20"/>
        </w:rPr>
        <w:t xml:space="preserve"> с дополнительным отст</w:t>
      </w:r>
      <w:r>
        <w:rPr>
          <w:b w:val="0"/>
          <w:sz w:val="20"/>
          <w:szCs w:val="20"/>
        </w:rPr>
        <w:t>у</w:t>
      </w:r>
      <w:r>
        <w:rPr>
          <w:b w:val="0"/>
          <w:sz w:val="20"/>
          <w:szCs w:val="20"/>
        </w:rPr>
        <w:t>пом 15 мм слева и справа, выравниванием по ширине. Сверху и снизу аннотация о</w:t>
      </w:r>
      <w:r>
        <w:rPr>
          <w:b w:val="0"/>
          <w:sz w:val="20"/>
          <w:szCs w:val="20"/>
        </w:rPr>
        <w:t>т</w:t>
      </w:r>
      <w:r>
        <w:rPr>
          <w:b w:val="0"/>
          <w:sz w:val="20"/>
          <w:szCs w:val="20"/>
        </w:rPr>
        <w:t>деляется от остального текста интервалом в 1 строку размером 16 пт. Настоящий текст оформлен в соответствии со всеми требованиями и может быть использован в качестве шаблона.</w:t>
      </w:r>
      <w:r w:rsidR="007C6D64" w:rsidRPr="00FC6045">
        <w:rPr>
          <w:b w:val="0"/>
          <w:sz w:val="20"/>
          <w:szCs w:val="20"/>
        </w:rPr>
        <w:t xml:space="preserve"> </w:t>
      </w:r>
    </w:p>
    <w:p w:rsidR="007C6D64" w:rsidRPr="00FC6045" w:rsidRDefault="007C6D64" w:rsidP="00FC6045">
      <w:pPr>
        <w:pStyle w:val="afe"/>
        <w:spacing w:after="320"/>
        <w:ind w:left="851" w:right="848"/>
        <w:jc w:val="both"/>
        <w:rPr>
          <w:b w:val="0"/>
          <w:sz w:val="20"/>
          <w:szCs w:val="20"/>
        </w:rPr>
      </w:pPr>
      <w:r w:rsidRPr="00FC6045">
        <w:rPr>
          <w:b w:val="0"/>
          <w:i/>
          <w:sz w:val="20"/>
          <w:szCs w:val="20"/>
        </w:rPr>
        <w:t>Ключевые слова:</w:t>
      </w:r>
      <w:r>
        <w:rPr>
          <w:b w:val="0"/>
          <w:sz w:val="20"/>
          <w:szCs w:val="20"/>
        </w:rPr>
        <w:t xml:space="preserve"> необходимо указать от 3 до 10 ключевых слов и (или) фраз через з</w:t>
      </w:r>
      <w:r>
        <w:rPr>
          <w:b w:val="0"/>
          <w:sz w:val="20"/>
          <w:szCs w:val="20"/>
        </w:rPr>
        <w:t>а</w:t>
      </w:r>
      <w:r>
        <w:rPr>
          <w:b w:val="0"/>
          <w:sz w:val="20"/>
          <w:szCs w:val="20"/>
        </w:rPr>
        <w:t>пятую.</w:t>
      </w:r>
    </w:p>
    <w:p w:rsidR="00BF62E7" w:rsidRDefault="00BF62E7">
      <w:pPr>
        <w:pStyle w:val="1"/>
      </w:pPr>
      <w:r>
        <w:t>1. Введение</w:t>
      </w:r>
    </w:p>
    <w:p w:rsidR="00BF62E7" w:rsidRDefault="00BF62E7">
      <w:pPr>
        <w:pStyle w:val="af"/>
      </w:pPr>
      <w:r>
        <w:t xml:space="preserve">Данный документ представляет собой инструкцию для пользователей MS </w:t>
      </w:r>
      <w:proofErr w:type="spellStart"/>
      <w:r>
        <w:t>Word</w:t>
      </w:r>
      <w:proofErr w:type="spellEnd"/>
      <w:r>
        <w:t xml:space="preserve"> (</w:t>
      </w:r>
      <w:r w:rsidR="002F11BD">
        <w:t xml:space="preserve">Вы </w:t>
      </w:r>
      <w:r>
        <w:t xml:space="preserve">можете также воспользоваться инструкцией для пользователей </w:t>
      </w:r>
      <w:proofErr w:type="spellStart"/>
      <w:r>
        <w:t>LaTeX</w:t>
      </w:r>
      <w:proofErr w:type="spellEnd"/>
      <w:r>
        <w:t>) и его можно использовать в к</w:t>
      </w:r>
      <w:r>
        <w:t>а</w:t>
      </w:r>
      <w:r>
        <w:t>честве шаблона.</w:t>
      </w:r>
      <w:r w:rsidR="003A40C1">
        <w:t xml:space="preserve"> Пожалуйста, </w:t>
      </w:r>
      <w:r w:rsidR="003A40C1" w:rsidRPr="00FC6045">
        <w:rPr>
          <w:b/>
        </w:rPr>
        <w:t>не используйте шаблоны ПаВТ прошлых лет</w:t>
      </w:r>
      <w:r w:rsidR="003A40C1">
        <w:t xml:space="preserve"> (в данный документ внесены существенные изменения).</w:t>
      </w:r>
    </w:p>
    <w:p w:rsidR="00BF62E7" w:rsidRDefault="00BF62E7">
      <w:pPr>
        <w:pStyle w:val="1"/>
      </w:pPr>
      <w:r>
        <w:t>2. Подготовка статьи</w:t>
      </w:r>
    </w:p>
    <w:p w:rsidR="00BF62E7" w:rsidRDefault="00BF62E7">
      <w:pPr>
        <w:pStyle w:val="af"/>
      </w:pPr>
      <w:r>
        <w:t>Страница статьи, представляемой на конференцию, должна иметь размеры 297</w:t>
      </w:r>
      <w:r>
        <w:rPr>
          <w:rFonts w:ascii="Symbol" w:hAnsi="Symbol" w:cs="Symbol"/>
          <w:lang w:val="en-US"/>
        </w:rPr>
        <w:t></w:t>
      </w:r>
      <w:r>
        <w:t>210 мм (формат А4). Все поля страницы должны иметь одинаковый размер — 25 мм.</w:t>
      </w:r>
    </w:p>
    <w:p w:rsidR="00BF62E7" w:rsidRDefault="00BF62E7">
      <w:pPr>
        <w:pStyle w:val="af"/>
      </w:pPr>
      <w:r>
        <w:t>Не допускается использование нумерации, принудительных разрывов страниц и колонт</w:t>
      </w:r>
      <w:r>
        <w:t>и</w:t>
      </w:r>
      <w:r>
        <w:t>тулов.</w:t>
      </w:r>
    </w:p>
    <w:p w:rsidR="00BF62E7" w:rsidRDefault="00BF62E7">
      <w:pPr>
        <w:pStyle w:val="af"/>
      </w:pPr>
      <w:r>
        <w:t xml:space="preserve">В тексте статьи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. Абзац оформляется шрифтом ра</w:t>
      </w:r>
      <w:r>
        <w:t>з</w:t>
      </w:r>
      <w:r>
        <w:t xml:space="preserve">мером 11 </w:t>
      </w:r>
      <w:proofErr w:type="spellStart"/>
      <w:r>
        <w:t>пт</w:t>
      </w:r>
      <w:proofErr w:type="spellEnd"/>
      <w:r>
        <w:t xml:space="preserve"> с выравниванием по ширине страницы, одинарным интервалом между строками и автоматической расстановкой переносов. Нежелательно использование полужирного стиля в тексте. Абзацы не разделяются интервалами и начинаются с красной строки с отступом 7 мм.</w:t>
      </w:r>
    </w:p>
    <w:p w:rsidR="00BF62E7" w:rsidRDefault="00BF62E7">
      <w:pPr>
        <w:pStyle w:val="2"/>
      </w:pPr>
      <w:r>
        <w:t>2.1 Заголовки</w:t>
      </w:r>
    </w:p>
    <w:p w:rsidR="00BF62E7" w:rsidRDefault="00BF62E7">
      <w:pPr>
        <w:pStyle w:val="af"/>
      </w:pPr>
      <w:r>
        <w:t>Название статьи оформляется шрифтом размером 16 </w:t>
      </w:r>
      <w:proofErr w:type="spellStart"/>
      <w:r>
        <w:t>пт</w:t>
      </w:r>
      <w:proofErr w:type="spellEnd"/>
      <w:r>
        <w:t xml:space="preserve"> с выравниванием по центру стр</w:t>
      </w:r>
      <w:r>
        <w:t>а</w:t>
      </w:r>
      <w:r>
        <w:t xml:space="preserve">ницы. Сверху от остального текста название отделяется одной пустой строкой. </w:t>
      </w:r>
    </w:p>
    <w:p w:rsidR="00BF62E7" w:rsidRDefault="00BF62E7">
      <w:pPr>
        <w:pStyle w:val="af"/>
      </w:pPr>
      <w:r>
        <w:t>Список авторов статьи оформляется шрифтом размером 12 </w:t>
      </w:r>
      <w:proofErr w:type="spellStart"/>
      <w:r>
        <w:t>пт</w:t>
      </w:r>
      <w:proofErr w:type="spellEnd"/>
      <w:r>
        <w:t xml:space="preserve"> с выравниванием по центру и отделяется от названия одной пустой строкой размером 16 пт. Авторы перечисляются через запятую, фамилия ставится с</w:t>
      </w:r>
      <w:r w:rsidR="002960C5">
        <w:t>пра</w:t>
      </w:r>
      <w:r>
        <w:t>ва от инициалов.</w:t>
      </w:r>
    </w:p>
    <w:p w:rsidR="00BF62E7" w:rsidRDefault="00BF62E7">
      <w:pPr>
        <w:pStyle w:val="af"/>
      </w:pPr>
      <w:r>
        <w:t>Организация оформляется шрифтом размером 12</w:t>
      </w:r>
      <w:r>
        <w:rPr>
          <w:lang w:val="en-US"/>
        </w:rPr>
        <w:t> </w:t>
      </w:r>
      <w:proofErr w:type="spellStart"/>
      <w:r>
        <w:t>пт</w:t>
      </w:r>
      <w:proofErr w:type="spellEnd"/>
      <w:r>
        <w:t xml:space="preserve"> с выравниванием по центру и отдел</w:t>
      </w:r>
      <w:r>
        <w:t>я</w:t>
      </w:r>
      <w:r>
        <w:t>ется от списка авторов одной пустой строкой размером 6</w:t>
      </w:r>
      <w:r>
        <w:rPr>
          <w:lang w:val="en-US"/>
        </w:rPr>
        <w:t> </w:t>
      </w:r>
      <w:r>
        <w:t>пт. В качестве организации необх</w:t>
      </w:r>
      <w:r>
        <w:t>о</w:t>
      </w:r>
      <w:r>
        <w:t>димо указать полное наименование организации, в которой работают авторы. В случае если авторы – из разных организаций, здесь указывается через запятую две или более организаций. При этом принадлежность автора к соответствующей организации обозначается при помощи сносок.</w:t>
      </w:r>
    </w:p>
    <w:p w:rsidR="00BF62E7" w:rsidRDefault="00BF62E7">
      <w:pPr>
        <w:pStyle w:val="af"/>
      </w:pPr>
      <w:r>
        <w:t>Заголовок раздела оформляется без отрыва от первого абзаца с выравниванием по левому краю. Сверху и снизу заголовок отделяется одной пустой строкой. Примеры заголовков и их стили представлены в таблице 1.</w:t>
      </w:r>
    </w:p>
    <w:p w:rsidR="00BF62E7" w:rsidRDefault="00BF62E7">
      <w:pPr>
        <w:pStyle w:val="2"/>
      </w:pPr>
      <w:r>
        <w:lastRenderedPageBreak/>
        <w:t>2.2 Рисунки и таблицы</w:t>
      </w:r>
    </w:p>
    <w:p w:rsidR="00BF62E7" w:rsidRDefault="00BF62E7">
      <w:pPr>
        <w:pStyle w:val="af"/>
      </w:pPr>
      <w:r>
        <w:t xml:space="preserve">Все рисунки и таблицы должны иметь подпись </w:t>
      </w:r>
      <w:r>
        <w:rPr>
          <w:lang w:val="en-US"/>
        </w:rPr>
        <w:t>c</w:t>
      </w:r>
      <w:r>
        <w:t xml:space="preserve"> шрифтом размером 10 </w:t>
      </w:r>
      <w:proofErr w:type="spellStart"/>
      <w:r>
        <w:t>пт</w:t>
      </w:r>
      <w:proofErr w:type="spellEnd"/>
      <w:r>
        <w:t>, отступ сверху и снизу 6</w:t>
      </w:r>
      <w:r>
        <w:rPr>
          <w:lang w:val="en-US"/>
        </w:rPr>
        <w:t> </w:t>
      </w:r>
      <w:proofErr w:type="spellStart"/>
      <w:r>
        <w:t>пт</w:t>
      </w:r>
      <w:proofErr w:type="spellEnd"/>
      <w:r>
        <w:t xml:space="preserve"> и выравнивание по центру страницы. Подпись к таблице помещается над таблицей, подпись к рисунку — под рисунком. Не рекомендуется использование цветных рисунков.</w:t>
      </w:r>
    </w:p>
    <w:p w:rsidR="00BF62E7" w:rsidRPr="00FC6045" w:rsidRDefault="00BF62E7">
      <w:pPr>
        <w:pStyle w:val="14"/>
        <w:keepNext/>
        <w:spacing w:before="120" w:after="120"/>
        <w:ind w:right="-2"/>
        <w:jc w:val="center"/>
      </w:pPr>
      <w:r w:rsidRPr="00FC6045">
        <w:t>Таблица</w:t>
      </w:r>
      <w:r w:rsidRPr="00FC6045">
        <w:rPr>
          <w:lang w:val="en-US"/>
        </w:rPr>
        <w:t> </w:t>
      </w:r>
      <w:r w:rsidRPr="00FC6045">
        <w:fldChar w:fldCharType="begin"/>
      </w:r>
      <w:r w:rsidRPr="00FC6045">
        <w:instrText xml:space="preserve"> SEQ "Таблица" \* ARABIC </w:instrText>
      </w:r>
      <w:r w:rsidRPr="00FC6045">
        <w:fldChar w:fldCharType="separate"/>
      </w:r>
      <w:r w:rsidRPr="00FC6045">
        <w:t>1</w:t>
      </w:r>
      <w:r w:rsidRPr="00FC6045">
        <w:fldChar w:fldCharType="end"/>
      </w:r>
      <w:r w:rsidRPr="00FC6045">
        <w:t xml:space="preserve">. </w:t>
      </w:r>
      <w:r w:rsidRPr="00FC6045">
        <w:rPr>
          <w:b w:val="0"/>
        </w:rPr>
        <w:t>Примеры заголовков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0"/>
        <w:gridCol w:w="2493"/>
      </w:tblGrid>
      <w:tr w:rsidR="00BF62E7" w:rsidTr="00FC6045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E7" w:rsidRDefault="00BF62E7">
            <w:pPr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заголовка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E7" w:rsidRDefault="00BF62E7">
            <w:pPr>
              <w:keepNext/>
              <w:snapToGrid w:val="0"/>
              <w:jc w:val="center"/>
            </w:pPr>
            <w:r>
              <w:rPr>
                <w:b/>
                <w:sz w:val="20"/>
                <w:szCs w:val="20"/>
              </w:rPr>
              <w:t>Размер и стиль шрифта</w:t>
            </w:r>
          </w:p>
        </w:tc>
      </w:tr>
      <w:tr w:rsidR="00BF62E7" w:rsidTr="00FC6045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E7" w:rsidRDefault="00BF62E7">
            <w:pPr>
              <w:keepNext/>
              <w:snapToGrid w:val="0"/>
              <w:rPr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Название статьи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2E7" w:rsidRDefault="00BF62E7">
            <w:pPr>
              <w:keepNext/>
              <w:snapToGrid w:val="0"/>
            </w:pPr>
            <w:r>
              <w:rPr>
                <w:sz w:val="20"/>
                <w:szCs w:val="20"/>
              </w:rPr>
              <w:t>16 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  <w:r>
              <w:rPr>
                <w:sz w:val="20"/>
                <w:szCs w:val="20"/>
              </w:rPr>
              <w:t>, полужирный</w:t>
            </w:r>
          </w:p>
        </w:tc>
      </w:tr>
      <w:tr w:rsidR="00BF62E7" w:rsidTr="00FC6045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E7" w:rsidRDefault="00BF62E7">
            <w:pPr>
              <w:keepNext/>
              <w:snapToGrid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Заголовок первого уровня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2E7" w:rsidRDefault="00BF62E7">
            <w:pPr>
              <w:keepNext/>
              <w:snapToGrid w:val="0"/>
            </w:pPr>
            <w:r>
              <w:rPr>
                <w:sz w:val="20"/>
                <w:szCs w:val="20"/>
              </w:rPr>
              <w:t>14 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  <w:r>
              <w:rPr>
                <w:sz w:val="20"/>
                <w:szCs w:val="20"/>
              </w:rPr>
              <w:t>, полужирный</w:t>
            </w:r>
          </w:p>
        </w:tc>
      </w:tr>
      <w:tr w:rsidR="00BF62E7" w:rsidTr="00FC6045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E7" w:rsidRDefault="00BF62E7">
            <w:pPr>
              <w:keepNext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</w:rPr>
              <w:t>Заголовок второго уровня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2E7" w:rsidRDefault="00BF62E7">
            <w:pPr>
              <w:keepNext/>
              <w:snapToGrid w:val="0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2 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  <w:r>
              <w:rPr>
                <w:sz w:val="20"/>
                <w:szCs w:val="20"/>
              </w:rPr>
              <w:t>, полужирный</w:t>
            </w:r>
          </w:p>
        </w:tc>
      </w:tr>
      <w:tr w:rsidR="00BF62E7" w:rsidTr="00FC6045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2E7" w:rsidRDefault="00BF62E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i/>
              </w:rPr>
              <w:t>Заголовок третьего уровня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2E7" w:rsidRDefault="00BF62E7">
            <w:pPr>
              <w:keepNext/>
              <w:snapToGrid w:val="0"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2 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  <w:r>
              <w:rPr>
                <w:sz w:val="20"/>
                <w:szCs w:val="20"/>
              </w:rPr>
              <w:t>, курсив</w:t>
            </w:r>
          </w:p>
        </w:tc>
      </w:tr>
    </w:tbl>
    <w:p w:rsidR="00BF62E7" w:rsidRDefault="00BF62E7">
      <w:pPr>
        <w:pStyle w:val="af"/>
        <w:spacing w:before="120"/>
      </w:pPr>
      <w:r>
        <w:rPr>
          <w:b/>
        </w:rPr>
        <w:t>Утверждения</w:t>
      </w:r>
      <w:r>
        <w:t xml:space="preserve">, </w:t>
      </w:r>
      <w:r>
        <w:rPr>
          <w:b/>
        </w:rPr>
        <w:t>леммы</w:t>
      </w:r>
      <w:r>
        <w:t xml:space="preserve"> и </w:t>
      </w:r>
      <w:r>
        <w:rPr>
          <w:b/>
        </w:rPr>
        <w:t>теоремы</w:t>
      </w:r>
      <w:r>
        <w:t xml:space="preserve"> оформляются отдельным абзацем и нумеруются в соо</w:t>
      </w:r>
      <w:r>
        <w:t>т</w:t>
      </w:r>
      <w:r>
        <w:t xml:space="preserve">ветствии с порядком их появления в тексте статьи, начиная с единицы, например, </w:t>
      </w:r>
      <w:r>
        <w:rPr>
          <w:b/>
        </w:rPr>
        <w:t>Теорема 1</w:t>
      </w:r>
      <w:r>
        <w:t>.</w:t>
      </w:r>
    </w:p>
    <w:p w:rsidR="00BF62E7" w:rsidRDefault="00BF62E7">
      <w:pPr>
        <w:pStyle w:val="2"/>
      </w:pPr>
      <w:r>
        <w:t>2.3 Формулы и исходные тексты программ</w:t>
      </w:r>
    </w:p>
    <w:p w:rsidR="00BF62E7" w:rsidRDefault="00BF62E7">
      <w:pPr>
        <w:pStyle w:val="af"/>
      </w:pPr>
      <w:r>
        <w:t xml:space="preserve">Формулы набираются с использованием стандартных средств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Word</w:t>
      </w:r>
      <w:r>
        <w:t xml:space="preserve">, таких как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Equation</w:t>
      </w:r>
      <w:r>
        <w:t xml:space="preserve"> или </w:t>
      </w:r>
      <w:proofErr w:type="spellStart"/>
      <w:r>
        <w:rPr>
          <w:lang w:val="en-US"/>
        </w:rPr>
        <w:t>MathType</w:t>
      </w:r>
      <w:proofErr w:type="spellEnd"/>
      <w:r>
        <w:t>.</w:t>
      </w:r>
    </w:p>
    <w:p w:rsidR="00BF62E7" w:rsidRPr="007C6D64" w:rsidRDefault="00BF62E7">
      <w:pPr>
        <w:pStyle w:val="af"/>
        <w:spacing w:after="120"/>
        <w:rPr>
          <w:b/>
          <w:bCs/>
          <w:color w:val="000000"/>
        </w:rPr>
      </w:pPr>
      <w:r>
        <w:t xml:space="preserve">Исходные тексты программ оформляются шрифтом </w:t>
      </w:r>
      <w:r>
        <w:rPr>
          <w:rFonts w:ascii="Courier New" w:hAnsi="Courier New" w:cs="Courier New"/>
          <w:sz w:val="20"/>
          <w:szCs w:val="20"/>
          <w:lang w:val="en-US"/>
        </w:rPr>
        <w:t>Courier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New</w:t>
      </w:r>
      <w:r>
        <w:t>, размером 10</w:t>
      </w:r>
      <w:r>
        <w:rPr>
          <w:lang w:val="en-US"/>
        </w:rPr>
        <w:t> </w:t>
      </w:r>
      <w:proofErr w:type="spellStart"/>
      <w:r>
        <w:t>пт</w:t>
      </w:r>
      <w:proofErr w:type="spellEnd"/>
      <w:r>
        <w:t xml:space="preserve"> (см. пример на </w:t>
      </w:r>
      <w:r>
        <w:fldChar w:fldCharType="begin"/>
      </w:r>
      <w:r>
        <w:instrText xml:space="preserve"> REF _Ref141948912 \h </w:instrText>
      </w:r>
      <w:r>
        <w:fldChar w:fldCharType="separate"/>
      </w:r>
      <w:r w:rsidR="00A37519">
        <w:t>рис. 1</w:t>
      </w:r>
      <w:r>
        <w:fldChar w:fldCharType="end"/>
      </w:r>
      <w:r>
        <w:t>). В исходных текстах программ допускается использование полужирного начертания и курсива.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58"/>
      </w:tblGrid>
      <w:tr w:rsidR="00BF62E7" w:rsidTr="00FC6045">
        <w:trPr>
          <w:jc w:val="center"/>
        </w:trPr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2E7" w:rsidRDefault="00BF62E7">
            <w:pPr>
              <w:pStyle w:val="HTML"/>
              <w:snapToGrid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void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selectionsort</w:t>
            </w:r>
            <w:proofErr w:type="spellEnd"/>
            <w:r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ap</w:t>
            </w:r>
            <w:proofErr w:type="spellEnd"/>
            <w:r>
              <w:rPr>
                <w:color w:val="000000"/>
                <w:lang w:val="en-US"/>
              </w:rPr>
              <w:t xml:space="preserve">::real_1d_array&amp; </w:t>
            </w:r>
            <w:proofErr w:type="spellStart"/>
            <w:r>
              <w:rPr>
                <w:color w:val="000000"/>
                <w:lang w:val="en-US"/>
              </w:rPr>
              <w:t>arr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const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int</w:t>
            </w:r>
            <w:proofErr w:type="spellEnd"/>
            <w:r>
              <w:rPr>
                <w:color w:val="000000"/>
                <w:lang w:val="en-US"/>
              </w:rPr>
              <w:t>&amp; n)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{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int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  <w:lang w:val="en-US"/>
              </w:rPr>
              <w:t>;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int</w:t>
            </w:r>
            <w:proofErr w:type="spellEnd"/>
            <w:r>
              <w:rPr>
                <w:color w:val="000000"/>
                <w:lang w:val="en-US"/>
              </w:rPr>
              <w:t xml:space="preserve"> j;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int</w:t>
            </w:r>
            <w:proofErr w:type="spellEnd"/>
            <w:r>
              <w:rPr>
                <w:color w:val="000000"/>
                <w:lang w:val="en-US"/>
              </w:rPr>
              <w:t xml:space="preserve"> k;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</w:t>
            </w:r>
            <w:r>
              <w:rPr>
                <w:b/>
                <w:bCs/>
                <w:color w:val="000000"/>
                <w:lang w:val="en-US"/>
              </w:rPr>
              <w:t>double</w:t>
            </w:r>
            <w:r>
              <w:rPr>
                <w:color w:val="000000"/>
                <w:lang w:val="en-US"/>
              </w:rPr>
              <w:t xml:space="preserve"> m;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</w:t>
            </w:r>
            <w:r>
              <w:rPr>
                <w:b/>
                <w:bCs/>
                <w:color w:val="000000"/>
                <w:lang w:val="en-US"/>
              </w:rPr>
              <w:t>for</w:t>
            </w:r>
            <w:r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  <w:lang w:val="en-US"/>
              </w:rPr>
              <w:t xml:space="preserve"> = 1; 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  <w:lang w:val="en-US"/>
              </w:rPr>
              <w:t xml:space="preserve"> &lt;= n; 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  <w:lang w:val="en-US"/>
              </w:rPr>
              <w:t xml:space="preserve">++) </w:t>
            </w:r>
            <w:r>
              <w:rPr>
                <w:b/>
                <w:bCs/>
                <w:color w:val="000000"/>
                <w:lang w:val="en-US"/>
              </w:rPr>
              <w:t>{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</w:t>
            </w:r>
            <w:r>
              <w:rPr>
                <w:color w:val="000000"/>
                <w:lang w:val="en-US"/>
              </w:rPr>
              <w:t xml:space="preserve">m = </w:t>
            </w:r>
            <w:proofErr w:type="spellStart"/>
            <w:r>
              <w:rPr>
                <w:color w:val="000000"/>
                <w:lang w:val="en-US"/>
              </w:rPr>
              <w:t>arr</w:t>
            </w:r>
            <w:proofErr w:type="spellEnd"/>
            <w:r>
              <w:rPr>
                <w:color w:val="000000"/>
                <w:lang w:val="en-US"/>
              </w:rPr>
              <w:t>(i-1);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</w:t>
            </w:r>
            <w:r>
              <w:rPr>
                <w:color w:val="000000"/>
                <w:lang w:val="en-US"/>
              </w:rPr>
              <w:t xml:space="preserve">k = 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  <w:lang w:val="en-US"/>
              </w:rPr>
              <w:t>;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</w:t>
            </w:r>
            <w:r>
              <w:rPr>
                <w:b/>
                <w:bCs/>
                <w:color w:val="000000"/>
                <w:lang w:val="en-US"/>
              </w:rPr>
              <w:t>for</w:t>
            </w:r>
            <w:r>
              <w:rPr>
                <w:color w:val="000000"/>
                <w:lang w:val="en-US"/>
              </w:rPr>
              <w:t xml:space="preserve">(j = 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  <w:lang w:val="en-US"/>
              </w:rPr>
              <w:t xml:space="preserve">; j &lt;= n; j++) </w:t>
            </w:r>
            <w:r>
              <w:rPr>
                <w:b/>
                <w:bCs/>
                <w:color w:val="000000"/>
                <w:lang w:val="en-US"/>
              </w:rPr>
              <w:t>{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    </w:t>
            </w:r>
            <w:r>
              <w:rPr>
                <w:b/>
                <w:bCs/>
                <w:color w:val="000000"/>
                <w:lang w:val="en-US"/>
              </w:rPr>
              <w:t>if</w:t>
            </w:r>
            <w:r>
              <w:rPr>
                <w:color w:val="000000"/>
                <w:lang w:val="en-US"/>
              </w:rPr>
              <w:t>( m&gt;</w:t>
            </w:r>
            <w:proofErr w:type="spellStart"/>
            <w:r>
              <w:rPr>
                <w:color w:val="000000"/>
                <w:lang w:val="en-US"/>
              </w:rPr>
              <w:t>arr</w:t>
            </w:r>
            <w:proofErr w:type="spellEnd"/>
            <w:r>
              <w:rPr>
                <w:color w:val="000000"/>
                <w:lang w:val="en-US"/>
              </w:rPr>
              <w:t xml:space="preserve">(j-1) ) </w:t>
            </w:r>
            <w:r>
              <w:rPr>
                <w:b/>
                <w:bCs/>
                <w:color w:val="000000"/>
                <w:lang w:val="en-US"/>
              </w:rPr>
              <w:t>{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        </w:t>
            </w:r>
            <w:r>
              <w:rPr>
                <w:color w:val="000000"/>
                <w:lang w:val="en-US"/>
              </w:rPr>
              <w:t xml:space="preserve">m = </w:t>
            </w:r>
            <w:proofErr w:type="spellStart"/>
            <w:r>
              <w:rPr>
                <w:color w:val="000000"/>
                <w:lang w:val="en-US"/>
              </w:rPr>
              <w:t>arr</w:t>
            </w:r>
            <w:proofErr w:type="spellEnd"/>
            <w:r>
              <w:rPr>
                <w:color w:val="000000"/>
                <w:lang w:val="en-US"/>
              </w:rPr>
              <w:t>(j-1);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        </w:t>
            </w:r>
            <w:r>
              <w:rPr>
                <w:color w:val="000000"/>
                <w:lang w:val="en-US"/>
              </w:rPr>
              <w:t>k = j;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    </w:t>
            </w:r>
            <w:r>
              <w:rPr>
                <w:b/>
                <w:bCs/>
                <w:color w:val="000000"/>
                <w:lang w:val="en-US"/>
              </w:rPr>
              <w:t>}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</w:t>
            </w:r>
            <w:r>
              <w:rPr>
                <w:b/>
                <w:bCs/>
                <w:color w:val="000000"/>
                <w:lang w:val="en-US"/>
              </w:rPr>
              <w:t>}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</w:t>
            </w:r>
            <w:proofErr w:type="spellStart"/>
            <w:r>
              <w:rPr>
                <w:color w:val="000000"/>
                <w:lang w:val="en-US"/>
              </w:rPr>
              <w:t>arr</w:t>
            </w:r>
            <w:proofErr w:type="spellEnd"/>
            <w:r>
              <w:rPr>
                <w:color w:val="000000"/>
                <w:lang w:val="en-US"/>
              </w:rPr>
              <w:t xml:space="preserve">(k-1) = </w:t>
            </w:r>
            <w:proofErr w:type="spellStart"/>
            <w:r>
              <w:rPr>
                <w:color w:val="000000"/>
                <w:lang w:val="en-US"/>
              </w:rPr>
              <w:t>arr</w:t>
            </w:r>
            <w:proofErr w:type="spellEnd"/>
            <w:r>
              <w:rPr>
                <w:color w:val="000000"/>
                <w:lang w:val="en-US"/>
              </w:rPr>
              <w:t>(i-1);</w:t>
            </w:r>
          </w:p>
          <w:p w:rsidR="00BF62E7" w:rsidRDefault="00BF62E7">
            <w:pPr>
              <w:pStyle w:val="HTML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 xml:space="preserve">        </w:t>
            </w:r>
            <w:proofErr w:type="spellStart"/>
            <w:r>
              <w:rPr>
                <w:color w:val="000000"/>
              </w:rPr>
              <w:t>arr</w:t>
            </w:r>
            <w:proofErr w:type="spellEnd"/>
            <w:r>
              <w:rPr>
                <w:color w:val="000000"/>
              </w:rPr>
              <w:t>(i-1) = m;</w:t>
            </w:r>
          </w:p>
          <w:p w:rsidR="00BF62E7" w:rsidRDefault="00BF62E7">
            <w:pPr>
              <w:pStyle w:val="HTML"/>
            </w:pPr>
            <w:r>
              <w:rPr>
                <w:rFonts w:eastAsia="Courier New"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>}</w:t>
            </w:r>
          </w:p>
          <w:p w:rsidR="00BF62E7" w:rsidRDefault="00BF62E7" w:rsidP="00FC6045">
            <w:pPr>
              <w:pStyle w:val="HTML"/>
            </w:pPr>
            <w:r>
              <w:t>}</w:t>
            </w:r>
          </w:p>
        </w:tc>
      </w:tr>
    </w:tbl>
    <w:p w:rsidR="004C671C" w:rsidRDefault="004C671C" w:rsidP="00FC6045">
      <w:pPr>
        <w:keepLines/>
        <w:spacing w:before="120" w:after="120"/>
        <w:jc w:val="center"/>
      </w:pPr>
      <w:r>
        <w:rPr>
          <w:b/>
        </w:rPr>
        <w:t>Рис.</w:t>
      </w:r>
      <w:r>
        <w:rPr>
          <w:b/>
          <w:lang w:val="en-US"/>
        </w:rPr>
        <w:t> </w:t>
      </w:r>
      <w:r>
        <w:rPr>
          <w:b/>
        </w:rPr>
        <w:fldChar w:fldCharType="begin"/>
      </w:r>
      <w:r>
        <w:rPr>
          <w:b/>
        </w:rPr>
        <w:instrText xml:space="preserve"> SEQ "Рис." \* ARABIC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t>. Алгоритм сортировки массива</w:t>
      </w:r>
    </w:p>
    <w:p w:rsidR="00BF62E7" w:rsidRDefault="00BF62E7">
      <w:pPr>
        <w:pStyle w:val="2"/>
      </w:pPr>
      <w:r>
        <w:t>2.4 Сноски и перекрестные ссылки</w:t>
      </w:r>
    </w:p>
    <w:p w:rsidR="00BF62E7" w:rsidRDefault="00BF62E7">
      <w:pPr>
        <w:pStyle w:val="af"/>
      </w:pPr>
      <w:r>
        <w:t>Сноски размещаются в нижней части страницы и нумеруются арабскими цифрами</w:t>
      </w:r>
      <w:r>
        <w:rPr>
          <w:rStyle w:val="FootnoteCharacters"/>
        </w:rPr>
        <w:footnoteReference w:id="2"/>
      </w:r>
      <w:r>
        <w:t>. Благ</w:t>
      </w:r>
      <w:r>
        <w:t>о</w:t>
      </w:r>
      <w:r>
        <w:t>дарности и ссылки на грант оформляются в виде сноски к названию статьи и обозначаются символом *.</w:t>
      </w:r>
    </w:p>
    <w:p w:rsidR="00BF62E7" w:rsidRDefault="00BF62E7">
      <w:pPr>
        <w:pStyle w:val="af"/>
      </w:pPr>
      <w:r>
        <w:t xml:space="preserve">Перекрестные ссылки на литературу заключаются в квадратные скобки и перечисляются через запятую или тире, </w:t>
      </w:r>
      <w:proofErr w:type="gramStart"/>
      <w:r>
        <w:t>например</w:t>
      </w:r>
      <w:proofErr w:type="gramEnd"/>
      <w:r>
        <w:t xml:space="preserve"> [13], [1–5], [1, 3, 5, 9].</w:t>
      </w:r>
    </w:p>
    <w:p w:rsidR="00BF62E7" w:rsidRDefault="00BF62E7">
      <w:pPr>
        <w:pStyle w:val="af"/>
      </w:pPr>
      <w:r>
        <w:t>Библиографические источники оформляются в виде нумерованного арабскими цифрами списка шрифтом размером 11 </w:t>
      </w:r>
      <w:proofErr w:type="spellStart"/>
      <w:r>
        <w:t>пт</w:t>
      </w:r>
      <w:proofErr w:type="spellEnd"/>
      <w:r>
        <w:t xml:space="preserve"> с выравниванием по левому краю.</w:t>
      </w:r>
    </w:p>
    <w:p w:rsidR="00851893" w:rsidRPr="00FC6045" w:rsidRDefault="00851893" w:rsidP="00851893">
      <w:pPr>
        <w:pStyle w:val="2"/>
      </w:pPr>
      <w:r>
        <w:t xml:space="preserve">2.4 </w:t>
      </w:r>
      <w:proofErr w:type="spellStart"/>
      <w:r w:rsidR="00795D27">
        <w:rPr>
          <w:lang w:val="en-US"/>
        </w:rPr>
        <w:t>Перевод</w:t>
      </w:r>
      <w:proofErr w:type="spellEnd"/>
      <w:r w:rsidR="00795D27">
        <w:rPr>
          <w:lang w:val="en-US"/>
        </w:rPr>
        <w:t xml:space="preserve"> </w:t>
      </w:r>
      <w:proofErr w:type="spellStart"/>
      <w:r w:rsidR="00795D27">
        <w:rPr>
          <w:lang w:val="en-US"/>
        </w:rPr>
        <w:t>названия</w:t>
      </w:r>
      <w:proofErr w:type="spellEnd"/>
      <w:r w:rsidR="00795D27">
        <w:rPr>
          <w:lang w:val="en-US"/>
        </w:rPr>
        <w:t xml:space="preserve">, </w:t>
      </w:r>
      <w:proofErr w:type="spellStart"/>
      <w:r w:rsidR="00795D27">
        <w:rPr>
          <w:lang w:val="en-US"/>
        </w:rPr>
        <w:t>списка</w:t>
      </w:r>
      <w:proofErr w:type="spellEnd"/>
      <w:r w:rsidR="00795D27">
        <w:rPr>
          <w:lang w:val="en-US"/>
        </w:rPr>
        <w:t xml:space="preserve"> </w:t>
      </w:r>
      <w:proofErr w:type="spellStart"/>
      <w:r w:rsidR="00795D27">
        <w:rPr>
          <w:lang w:val="en-US"/>
        </w:rPr>
        <w:t>авторов</w:t>
      </w:r>
      <w:proofErr w:type="spellEnd"/>
      <w:r w:rsidR="00795D27">
        <w:rPr>
          <w:lang w:val="en-US"/>
        </w:rPr>
        <w:t xml:space="preserve"> и </w:t>
      </w:r>
      <w:proofErr w:type="spellStart"/>
      <w:r w:rsidR="00795D27">
        <w:rPr>
          <w:lang w:val="en-US"/>
        </w:rPr>
        <w:t>литературы</w:t>
      </w:r>
      <w:proofErr w:type="spellEnd"/>
      <w:r w:rsidR="00795D27">
        <w:rPr>
          <w:lang w:val="en-US"/>
        </w:rPr>
        <w:t xml:space="preserve"> </w:t>
      </w:r>
      <w:proofErr w:type="spellStart"/>
      <w:r w:rsidR="00795D27">
        <w:rPr>
          <w:lang w:val="en-US"/>
        </w:rPr>
        <w:t>на</w:t>
      </w:r>
      <w:proofErr w:type="spellEnd"/>
      <w:r w:rsidR="00795D27">
        <w:rPr>
          <w:lang w:val="en-US"/>
        </w:rPr>
        <w:t xml:space="preserve"> </w:t>
      </w:r>
      <w:proofErr w:type="spellStart"/>
      <w:r w:rsidR="00795D27">
        <w:rPr>
          <w:lang w:val="en-US"/>
        </w:rPr>
        <w:t>английский</w:t>
      </w:r>
      <w:proofErr w:type="spellEnd"/>
      <w:r w:rsidR="00795D27">
        <w:rPr>
          <w:lang w:val="en-US"/>
        </w:rPr>
        <w:t xml:space="preserve"> </w:t>
      </w:r>
      <w:proofErr w:type="spellStart"/>
      <w:r w:rsidR="00795D27">
        <w:rPr>
          <w:lang w:val="en-US"/>
        </w:rPr>
        <w:t>язык</w:t>
      </w:r>
      <w:proofErr w:type="spellEnd"/>
    </w:p>
    <w:p w:rsidR="00851893" w:rsidRDefault="00795D27" w:rsidP="00851893">
      <w:pPr>
        <w:pStyle w:val="af"/>
      </w:pPr>
      <w:r>
        <w:t xml:space="preserve">После списка литературы </w:t>
      </w:r>
      <w:r w:rsidR="00F03470">
        <w:t>в короткие и полные статьи</w:t>
      </w:r>
      <w:r w:rsidR="004C671C">
        <w:t>, представленные</w:t>
      </w:r>
      <w:r w:rsidR="00F03470">
        <w:t xml:space="preserve"> </w:t>
      </w:r>
      <w:r w:rsidR="004C671C">
        <w:t>на русском языке,</w:t>
      </w:r>
      <w:bookmarkStart w:id="0" w:name="_GoBack"/>
      <w:bookmarkEnd w:id="0"/>
      <w:r w:rsidR="004C671C">
        <w:t xml:space="preserve"> </w:t>
      </w:r>
      <w:r w:rsidR="00F03470">
        <w:t>дополнительно включаются следующие элементы:</w:t>
      </w:r>
    </w:p>
    <w:p w:rsidR="00F03470" w:rsidRDefault="00F03470" w:rsidP="00FC6045">
      <w:pPr>
        <w:pStyle w:val="af"/>
        <w:numPr>
          <w:ilvl w:val="0"/>
          <w:numId w:val="8"/>
        </w:numPr>
        <w:ind w:left="406" w:hanging="406"/>
      </w:pPr>
      <w:r>
        <w:t>название</w:t>
      </w:r>
      <w:r>
        <w:t xml:space="preserve"> статьи</w:t>
      </w:r>
      <w:r>
        <w:t>, переведенное на английский язык;</w:t>
      </w:r>
    </w:p>
    <w:p w:rsidR="00F03470" w:rsidRDefault="00F03470" w:rsidP="00FC6045">
      <w:pPr>
        <w:pStyle w:val="af"/>
        <w:numPr>
          <w:ilvl w:val="0"/>
          <w:numId w:val="8"/>
        </w:numPr>
        <w:ind w:left="406" w:hanging="406"/>
      </w:pPr>
      <w:r>
        <w:t>список авторов, переведенный на английский язык;</w:t>
      </w:r>
    </w:p>
    <w:p w:rsidR="00F03470" w:rsidRDefault="00F03470" w:rsidP="00FC6045">
      <w:pPr>
        <w:pStyle w:val="af"/>
        <w:numPr>
          <w:ilvl w:val="0"/>
          <w:numId w:val="8"/>
        </w:numPr>
        <w:ind w:left="406" w:hanging="406"/>
      </w:pPr>
      <w:r>
        <w:t>названи</w:t>
      </w:r>
      <w:r>
        <w:t>я</w:t>
      </w:r>
      <w:r>
        <w:t xml:space="preserve"> организаци</w:t>
      </w:r>
      <w:r>
        <w:t>й</w:t>
      </w:r>
      <w:r>
        <w:t>, переведенн</w:t>
      </w:r>
      <w:r>
        <w:t>ые</w:t>
      </w:r>
      <w:r>
        <w:t xml:space="preserve"> на английский язык;</w:t>
      </w:r>
    </w:p>
    <w:p w:rsidR="00F03470" w:rsidRDefault="00F03470" w:rsidP="00FC6045">
      <w:pPr>
        <w:pStyle w:val="af"/>
        <w:numPr>
          <w:ilvl w:val="0"/>
          <w:numId w:val="8"/>
        </w:numPr>
        <w:ind w:left="406" w:hanging="406"/>
      </w:pPr>
      <w:r>
        <w:t>аннотация</w:t>
      </w:r>
      <w:r>
        <w:t xml:space="preserve"> статьи</w:t>
      </w:r>
      <w:r>
        <w:t>, переведенная на английский язык;</w:t>
      </w:r>
    </w:p>
    <w:p w:rsidR="00F03470" w:rsidRDefault="00F03470" w:rsidP="00FC6045">
      <w:pPr>
        <w:pStyle w:val="af"/>
        <w:numPr>
          <w:ilvl w:val="0"/>
          <w:numId w:val="8"/>
        </w:numPr>
        <w:ind w:left="406" w:hanging="406"/>
      </w:pPr>
      <w:r>
        <w:t>список ключевых слов, переведенный на английский язык;</w:t>
      </w:r>
    </w:p>
    <w:p w:rsidR="00851893" w:rsidRDefault="00F03470" w:rsidP="00FC6045">
      <w:pPr>
        <w:pStyle w:val="af"/>
        <w:numPr>
          <w:ilvl w:val="0"/>
          <w:numId w:val="8"/>
        </w:numPr>
        <w:ind w:left="406" w:hanging="406"/>
      </w:pPr>
      <w:r>
        <w:t>список использованной литературы, переведенный на английский язык.</w:t>
      </w:r>
    </w:p>
    <w:p w:rsidR="00F03470" w:rsidRDefault="00F03470" w:rsidP="00FC6045">
      <w:pPr>
        <w:pStyle w:val="af"/>
      </w:pPr>
      <w:r>
        <w:t>При оформлении данных элементов используются параметры форматирования соответствующих русскоязычных оригиналов. Правила перевода русскоязычных библиографических источников приведены на веб-сайте конференции в разделе «Авторам».</w:t>
      </w:r>
    </w:p>
    <w:p w:rsidR="00BF62E7" w:rsidRDefault="00BF62E7">
      <w:pPr>
        <w:pStyle w:val="1"/>
      </w:pPr>
      <w:r>
        <w:t>Литература</w:t>
      </w:r>
    </w:p>
    <w:p w:rsidR="00BF62E7" w:rsidRDefault="00BF62E7" w:rsidP="00FC6045">
      <w:pPr>
        <w:pStyle w:val="a"/>
        <w:numPr>
          <w:ilvl w:val="0"/>
          <w:numId w:val="3"/>
        </w:numPr>
        <w:tabs>
          <w:tab w:val="clear" w:pos="720"/>
        </w:tabs>
        <w:ind w:left="378"/>
      </w:pPr>
      <w:r>
        <w:t xml:space="preserve">Ерёмин И.И. </w:t>
      </w:r>
      <w:proofErr w:type="spellStart"/>
      <w:r>
        <w:t>Фейеровские</w:t>
      </w:r>
      <w:proofErr w:type="spellEnd"/>
      <w:r>
        <w:t xml:space="preserve"> методы для задач выпуклой и линейной оптимизации. Чел</w:t>
      </w:r>
      <w:r>
        <w:t>я</w:t>
      </w:r>
      <w:r>
        <w:t>бинск: Изд-во ЮУрГУ, 2009. 200 с.</w:t>
      </w:r>
    </w:p>
    <w:p w:rsidR="00BF62E7" w:rsidRDefault="00BF62E7" w:rsidP="00FC6045">
      <w:pPr>
        <w:pStyle w:val="a"/>
        <w:numPr>
          <w:ilvl w:val="0"/>
          <w:numId w:val="3"/>
        </w:numPr>
        <w:tabs>
          <w:tab w:val="clear" w:pos="720"/>
        </w:tabs>
        <w:ind w:left="378"/>
      </w:pPr>
      <w:r>
        <w:t>Левин В.К. Отечественные суперкомпьютеры семейства МВС. URL: http://parallel.ru/mvs/levin.html (дата обращения: 27.05.2012).</w:t>
      </w:r>
    </w:p>
    <w:p w:rsidR="00BF62E7" w:rsidRDefault="00BF62E7" w:rsidP="00FC6045">
      <w:pPr>
        <w:pStyle w:val="a"/>
        <w:numPr>
          <w:ilvl w:val="0"/>
          <w:numId w:val="3"/>
        </w:numPr>
        <w:tabs>
          <w:tab w:val="clear" w:pos="720"/>
        </w:tabs>
        <w:ind w:left="378"/>
      </w:pPr>
      <w:r>
        <w:t>Акимова Е.Н., Белоусов Д.В. Распараллеливание решения линейной обратной задачи на МВС-1000 и графических процессорах. Параллельные вычислительные технологии (ПаВТ’2010): Труды международной научной конференции (Уфа, 29 марта – 2 апреля 2010 г.). Челябинск: Издательский центр ЮУрГУ, 2010. С. 18–27.</w:t>
      </w:r>
    </w:p>
    <w:p w:rsidR="00BF62E7" w:rsidRDefault="00BF62E7" w:rsidP="00FC6045">
      <w:pPr>
        <w:pStyle w:val="a"/>
        <w:numPr>
          <w:ilvl w:val="0"/>
          <w:numId w:val="3"/>
        </w:numPr>
        <w:tabs>
          <w:tab w:val="clear" w:pos="720"/>
        </w:tabs>
        <w:ind w:left="378"/>
        <w:rPr>
          <w:lang w:val="en-US"/>
        </w:rPr>
      </w:pPr>
      <w:r>
        <w:t>Соколинский Л.Б. Организация параллельного выполнения запросов в многопроце</w:t>
      </w:r>
      <w:r>
        <w:t>с</w:t>
      </w:r>
      <w:r>
        <w:t>сорной машине баз данных с иерархической архитектурой // Программирование. 2001. №</w:t>
      </w:r>
      <w:r>
        <w:rPr>
          <w:lang w:val="en-US"/>
        </w:rPr>
        <w:t> </w:t>
      </w:r>
      <w:r>
        <w:t>6. С.</w:t>
      </w:r>
      <w:r>
        <w:rPr>
          <w:lang w:val="en-US"/>
        </w:rPr>
        <w:t> </w:t>
      </w:r>
      <w:r>
        <w:t>13–29.</w:t>
      </w:r>
    </w:p>
    <w:p w:rsidR="00BF62E7" w:rsidRDefault="00BF62E7" w:rsidP="00FC6045">
      <w:pPr>
        <w:pStyle w:val="a"/>
        <w:numPr>
          <w:ilvl w:val="0"/>
          <w:numId w:val="3"/>
        </w:numPr>
        <w:tabs>
          <w:tab w:val="clear" w:pos="720"/>
        </w:tabs>
        <w:ind w:left="378"/>
        <w:rPr>
          <w:lang w:val="en-US"/>
        </w:rPr>
      </w:pPr>
      <w:r>
        <w:rPr>
          <w:lang w:val="en-US"/>
        </w:rPr>
        <w:t xml:space="preserve">Amit Y. 2D Object Detection and Recognition: models, algorithms and networks. MIT Press, 2002. </w:t>
      </w:r>
      <w:proofErr w:type="gramStart"/>
      <w:r>
        <w:rPr>
          <w:lang w:val="en-US"/>
        </w:rPr>
        <w:t>325</w:t>
      </w:r>
      <w:proofErr w:type="gramEnd"/>
      <w:r>
        <w:rPr>
          <w:lang w:val="en-US"/>
        </w:rPr>
        <w:t> p.</w:t>
      </w:r>
    </w:p>
    <w:p w:rsidR="00BF62E7" w:rsidRDefault="00BF62E7" w:rsidP="00FC6045">
      <w:pPr>
        <w:pStyle w:val="a"/>
        <w:numPr>
          <w:ilvl w:val="0"/>
          <w:numId w:val="3"/>
        </w:numPr>
        <w:tabs>
          <w:tab w:val="clear" w:pos="720"/>
        </w:tabs>
        <w:ind w:left="378"/>
        <w:rPr>
          <w:lang w:val="en-US"/>
        </w:rPr>
      </w:pPr>
      <w:proofErr w:type="spellStart"/>
      <w:r>
        <w:rPr>
          <w:lang w:val="en-US"/>
        </w:rPr>
        <w:t>Cadez</w:t>
      </w:r>
      <w:proofErr w:type="spellEnd"/>
      <w:r>
        <w:rPr>
          <w:lang w:val="en-US"/>
        </w:rPr>
        <w:t xml:space="preserve"> I., Heckerman D., Meek C., et al. Visualization of Navigation Patterns on a Web Site Using Model Based Clustering. Technical Report MSR-TR-00-18. Microsoft Research. 2000. </w:t>
      </w:r>
      <w:r w:rsidRPr="007C6D64">
        <w:rPr>
          <w:lang w:val="en-US"/>
        </w:rPr>
        <w:t>URL: http://research.microsoft.com/pubs/69752/tr-2000-18.pdf (</w:t>
      </w:r>
      <w:r>
        <w:t>дата</w:t>
      </w:r>
      <w:r w:rsidRPr="007C6D64">
        <w:rPr>
          <w:lang w:val="en-US"/>
        </w:rPr>
        <w:t xml:space="preserve"> </w:t>
      </w:r>
      <w:r>
        <w:t>обращения</w:t>
      </w:r>
      <w:r w:rsidRPr="007C6D64">
        <w:rPr>
          <w:lang w:val="en-US"/>
        </w:rPr>
        <w:t>: 13.12.2009).</w:t>
      </w:r>
    </w:p>
    <w:p w:rsidR="00BF62E7" w:rsidRDefault="00BF62E7" w:rsidP="00FC6045">
      <w:pPr>
        <w:pStyle w:val="a"/>
        <w:numPr>
          <w:ilvl w:val="0"/>
          <w:numId w:val="3"/>
        </w:numPr>
        <w:tabs>
          <w:tab w:val="clear" w:pos="720"/>
        </w:tabs>
        <w:ind w:left="378"/>
        <w:rPr>
          <w:lang w:val="en-US"/>
        </w:rPr>
      </w:pPr>
      <w:r>
        <w:rPr>
          <w:lang w:val="en-US"/>
        </w:rPr>
        <w:t>Levshin D.V., Markov A.S. Algorithms for Integrating PostgreSQL with the Semantic Web // Programming and Computer Software. 2009. Vol. 35, No. 3. P. 136–144.</w:t>
      </w:r>
    </w:p>
    <w:p w:rsidR="00BF62E7" w:rsidRDefault="00BF62E7" w:rsidP="00FC6045">
      <w:pPr>
        <w:pStyle w:val="a"/>
        <w:numPr>
          <w:ilvl w:val="0"/>
          <w:numId w:val="3"/>
        </w:numPr>
        <w:tabs>
          <w:tab w:val="clear" w:pos="720"/>
        </w:tabs>
        <w:ind w:left="378"/>
        <w:rPr>
          <w:lang w:val="en-US"/>
        </w:rPr>
      </w:pPr>
      <w:proofErr w:type="spellStart"/>
      <w:r>
        <w:rPr>
          <w:lang w:val="en-US"/>
        </w:rPr>
        <w:t>Stonebraker</w:t>
      </w:r>
      <w:proofErr w:type="spellEnd"/>
      <w:r>
        <w:rPr>
          <w:lang w:val="en-US"/>
        </w:rPr>
        <w:t xml:space="preserve"> M., </w:t>
      </w:r>
      <w:proofErr w:type="spellStart"/>
      <w:r>
        <w:rPr>
          <w:lang w:val="en-US"/>
        </w:rPr>
        <w:t>Kemnitz</w:t>
      </w:r>
      <w:proofErr w:type="spellEnd"/>
      <w:r>
        <w:rPr>
          <w:lang w:val="en-US"/>
        </w:rPr>
        <w:t> G. The POSTGRES Next-generation Database Management System // Communications of the ACM. 1991. Vol. 34, No. 10. P. 78–92.</w:t>
      </w:r>
    </w:p>
    <w:p w:rsidR="00BC480B" w:rsidRDefault="00BC480B">
      <w:pPr>
        <w:rPr>
          <w:szCs w:val="22"/>
          <w:lang w:val="en-US"/>
        </w:rPr>
      </w:pPr>
      <w:r>
        <w:rPr>
          <w:lang w:val="en-US"/>
        </w:rPr>
        <w:br w:type="page"/>
      </w:r>
    </w:p>
    <w:p w:rsidR="00BF62E7" w:rsidRDefault="00BC480B">
      <w:pPr>
        <w:pStyle w:val="ad"/>
        <w:spacing w:after="320"/>
        <w:rPr>
          <w:sz w:val="24"/>
          <w:szCs w:val="24"/>
          <w:lang w:val="en-US"/>
        </w:rPr>
      </w:pP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64401D">
        <w:rPr>
          <w:lang w:val="en-US"/>
        </w:rPr>
        <w:t>author</w:t>
      </w:r>
      <w:r>
        <w:rPr>
          <w:lang w:val="en-US"/>
        </w:rPr>
        <w:t>s</w:t>
      </w:r>
      <w:r w:rsidRPr="0064401D">
        <w:rPr>
          <w:lang w:val="en-US"/>
        </w:rPr>
        <w:t xml:space="preserve"> </w:t>
      </w:r>
      <w:r w:rsidR="004323A1">
        <w:rPr>
          <w:lang w:val="en-US"/>
        </w:rPr>
        <w:t>of</w:t>
      </w:r>
      <w:r w:rsidR="0064401D">
        <w:rPr>
          <w:lang w:val="en-US"/>
        </w:rPr>
        <w:t xml:space="preserve"> </w:t>
      </w:r>
      <w:r w:rsidR="004323A1">
        <w:rPr>
          <w:lang w:val="en-US"/>
        </w:rPr>
        <w:t xml:space="preserve">the </w:t>
      </w:r>
      <w:r w:rsidR="00BF62E7">
        <w:rPr>
          <w:lang w:val="en-US"/>
        </w:rPr>
        <w:t xml:space="preserve">PCT </w:t>
      </w:r>
      <w:r>
        <w:rPr>
          <w:lang w:val="en-US"/>
        </w:rPr>
        <w:t>conference</w:t>
      </w:r>
      <w:r>
        <w:rPr>
          <w:lang w:val="en-US"/>
        </w:rPr>
        <w:br/>
        <w:t xml:space="preserve">for </w:t>
      </w:r>
      <w:r w:rsidR="00FB2BDE">
        <w:rPr>
          <w:lang w:val="en-US"/>
        </w:rPr>
        <w:t xml:space="preserve">formatting </w:t>
      </w:r>
      <w:r>
        <w:rPr>
          <w:lang w:val="en-US"/>
        </w:rPr>
        <w:t xml:space="preserve">of full and short </w:t>
      </w:r>
      <w:proofErr w:type="gramStart"/>
      <w:r>
        <w:rPr>
          <w:lang w:val="en-US"/>
        </w:rPr>
        <w:t>paper</w:t>
      </w:r>
      <w:r>
        <w:rPr>
          <w:lang w:val="en-US"/>
        </w:rPr>
        <w:t>s</w:t>
      </w:r>
      <w:r w:rsidR="00BF62E7">
        <w:rPr>
          <w:lang w:val="en-US"/>
        </w:rPr>
        <w:br/>
        <w:t>(</w:t>
      </w:r>
      <w:proofErr w:type="gramEnd"/>
      <w:r w:rsidR="00BF62E7">
        <w:rPr>
          <w:lang w:val="en-US"/>
        </w:rPr>
        <w:t>MS Word document)</w:t>
      </w:r>
    </w:p>
    <w:p w:rsidR="00BF62E7" w:rsidRDefault="00BF62E7">
      <w:pPr>
        <w:pStyle w:val="ae"/>
        <w:rPr>
          <w:lang w:val="en-US"/>
        </w:rPr>
      </w:pPr>
      <w:r>
        <w:rPr>
          <w:sz w:val="24"/>
          <w:szCs w:val="24"/>
          <w:lang w:val="en-US"/>
        </w:rPr>
        <w:t>A.B. First</w:t>
      </w:r>
      <w:r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, C.D. Second</w:t>
      </w:r>
      <w:r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, E.F. Third</w:t>
      </w:r>
      <w:r>
        <w:rPr>
          <w:sz w:val="24"/>
          <w:szCs w:val="24"/>
          <w:vertAlign w:val="superscript"/>
          <w:lang w:val="en-US"/>
        </w:rPr>
        <w:t>2</w:t>
      </w:r>
    </w:p>
    <w:p w:rsidR="00BF62E7" w:rsidRDefault="00BF62E7">
      <w:pPr>
        <w:pStyle w:val="af6"/>
        <w:spacing w:after="320"/>
        <w:rPr>
          <w:sz w:val="20"/>
          <w:szCs w:val="20"/>
          <w:lang w:val="en-US"/>
        </w:rPr>
      </w:pPr>
      <w:r>
        <w:rPr>
          <w:lang w:val="en-US"/>
        </w:rPr>
        <w:t>Organization</w:t>
      </w:r>
      <w:r w:rsidRPr="007C6D64">
        <w:rPr>
          <w:lang w:val="en-US"/>
        </w:rPr>
        <w:t>A</w:t>
      </w:r>
      <w:r w:rsidRPr="007C6D64">
        <w:rPr>
          <w:vertAlign w:val="superscript"/>
          <w:lang w:val="en-US"/>
        </w:rPr>
        <w:t>1</w:t>
      </w:r>
      <w:r w:rsidRPr="007C6D64">
        <w:rPr>
          <w:lang w:val="en-US"/>
        </w:rPr>
        <w:t xml:space="preserve">, </w:t>
      </w:r>
      <w:r>
        <w:rPr>
          <w:lang w:val="en-US"/>
        </w:rPr>
        <w:t>OrganizationB</w:t>
      </w:r>
      <w:r w:rsidRPr="007C6D64">
        <w:rPr>
          <w:vertAlign w:val="superscript"/>
          <w:lang w:val="en-US"/>
        </w:rPr>
        <w:t>2</w:t>
      </w:r>
    </w:p>
    <w:p w:rsidR="00BF62E7" w:rsidRDefault="00BF62E7" w:rsidP="007C6D64">
      <w:pPr>
        <w:pStyle w:val="ad"/>
        <w:spacing w:after="240"/>
        <w:ind w:left="851" w:right="848"/>
        <w:jc w:val="both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  <w:lang w:val="en-US"/>
        </w:rPr>
        <w:t xml:space="preserve">Abstract contains a brief description of the </w:t>
      </w:r>
      <w:proofErr w:type="gramStart"/>
      <w:r>
        <w:rPr>
          <w:b w:val="0"/>
          <w:sz w:val="20"/>
          <w:szCs w:val="20"/>
          <w:lang w:val="en-US"/>
        </w:rPr>
        <w:t>paper,</w:t>
      </w:r>
      <w:proofErr w:type="gramEnd"/>
      <w:r>
        <w:rPr>
          <w:b w:val="0"/>
          <w:sz w:val="20"/>
          <w:szCs w:val="20"/>
          <w:lang w:val="en-US"/>
        </w:rPr>
        <w:t xml:space="preserve"> it should not exceed 10 lines. Abstract </w:t>
      </w:r>
      <w:proofErr w:type="gramStart"/>
      <w:r>
        <w:rPr>
          <w:b w:val="0"/>
          <w:sz w:val="20"/>
          <w:szCs w:val="20"/>
          <w:lang w:val="en-US"/>
        </w:rPr>
        <w:t>is separated</w:t>
      </w:r>
      <w:proofErr w:type="gramEnd"/>
      <w:r>
        <w:rPr>
          <w:b w:val="0"/>
          <w:sz w:val="20"/>
          <w:szCs w:val="20"/>
          <w:lang w:val="en-US"/>
        </w:rPr>
        <w:t xml:space="preserve"> by a single blank line with 16 </w:t>
      </w:r>
      <w:proofErr w:type="spellStart"/>
      <w:r>
        <w:rPr>
          <w:b w:val="0"/>
          <w:sz w:val="20"/>
          <w:szCs w:val="20"/>
          <w:lang w:val="en-US"/>
        </w:rPr>
        <w:t>pt</w:t>
      </w:r>
      <w:proofErr w:type="spellEnd"/>
      <w:r>
        <w:rPr>
          <w:b w:val="0"/>
          <w:sz w:val="20"/>
          <w:szCs w:val="20"/>
          <w:lang w:val="en-US"/>
        </w:rPr>
        <w:t xml:space="preserve"> size above and below. Left and right margins are of 15 mm width. Abstract </w:t>
      </w:r>
      <w:proofErr w:type="gramStart"/>
      <w:r>
        <w:rPr>
          <w:b w:val="0"/>
          <w:sz w:val="20"/>
          <w:szCs w:val="20"/>
          <w:lang w:val="en-US"/>
        </w:rPr>
        <w:t>is formatted</w:t>
      </w:r>
      <w:proofErr w:type="gramEnd"/>
      <w:r>
        <w:rPr>
          <w:b w:val="0"/>
          <w:sz w:val="20"/>
          <w:szCs w:val="20"/>
          <w:lang w:val="en-US"/>
        </w:rPr>
        <w:t xml:space="preserve"> as justified text with 10 </w:t>
      </w:r>
      <w:proofErr w:type="spellStart"/>
      <w:r>
        <w:rPr>
          <w:b w:val="0"/>
          <w:sz w:val="20"/>
          <w:szCs w:val="20"/>
          <w:lang w:val="en-US"/>
        </w:rPr>
        <w:t>pt</w:t>
      </w:r>
      <w:proofErr w:type="spellEnd"/>
      <w:r>
        <w:rPr>
          <w:b w:val="0"/>
          <w:sz w:val="20"/>
          <w:szCs w:val="20"/>
          <w:lang w:val="en-US"/>
        </w:rPr>
        <w:t xml:space="preserve"> Times New Roman font. This text is </w:t>
      </w:r>
      <w:proofErr w:type="gramStart"/>
      <w:r>
        <w:rPr>
          <w:b w:val="0"/>
          <w:sz w:val="20"/>
          <w:szCs w:val="20"/>
          <w:lang w:val="en-US"/>
        </w:rPr>
        <w:t>formatted  according</w:t>
      </w:r>
      <w:proofErr w:type="gramEnd"/>
      <w:r>
        <w:rPr>
          <w:b w:val="0"/>
          <w:sz w:val="20"/>
          <w:szCs w:val="20"/>
          <w:lang w:val="en-US"/>
        </w:rPr>
        <w:t xml:space="preserve"> to all requirements and can be used as a template. </w:t>
      </w:r>
    </w:p>
    <w:p w:rsidR="00BF62E7" w:rsidRDefault="00BF62E7">
      <w:pPr>
        <w:pStyle w:val="ad"/>
        <w:spacing w:after="320"/>
        <w:ind w:left="851" w:right="848"/>
        <w:jc w:val="both"/>
        <w:rPr>
          <w:lang w:val="en-US"/>
        </w:rPr>
      </w:pPr>
      <w:r w:rsidRPr="007C6D64">
        <w:rPr>
          <w:b w:val="0"/>
          <w:i/>
          <w:sz w:val="20"/>
          <w:szCs w:val="20"/>
          <w:lang w:val="en-US"/>
        </w:rPr>
        <w:t>Keywords:</w:t>
      </w:r>
      <w:r>
        <w:rPr>
          <w:b w:val="0"/>
          <w:sz w:val="20"/>
          <w:szCs w:val="20"/>
          <w:lang w:val="en-US"/>
        </w:rPr>
        <w:t xml:space="preserve"> from </w:t>
      </w:r>
      <w:proofErr w:type="gramStart"/>
      <w:r>
        <w:rPr>
          <w:b w:val="0"/>
          <w:sz w:val="20"/>
          <w:szCs w:val="20"/>
          <w:lang w:val="en-US"/>
        </w:rPr>
        <w:t>3</w:t>
      </w:r>
      <w:proofErr w:type="gramEnd"/>
      <w:r>
        <w:rPr>
          <w:b w:val="0"/>
          <w:sz w:val="20"/>
          <w:szCs w:val="20"/>
          <w:lang w:val="en-US"/>
        </w:rPr>
        <w:t xml:space="preserve"> to 10 key words and (or) the phrases separated by commas should be specified here.</w:t>
      </w:r>
    </w:p>
    <w:p w:rsidR="00BF62E7" w:rsidRDefault="00BF62E7">
      <w:pPr>
        <w:pStyle w:val="1"/>
        <w:rPr>
          <w:lang w:val="en-US"/>
        </w:rPr>
      </w:pPr>
      <w:r>
        <w:rPr>
          <w:lang w:val="en-US"/>
        </w:rPr>
        <w:t>References</w:t>
      </w:r>
    </w:p>
    <w:p w:rsidR="00BF62E7" w:rsidRDefault="00BF62E7" w:rsidP="00FC6045">
      <w:pPr>
        <w:pStyle w:val="a"/>
        <w:numPr>
          <w:ilvl w:val="0"/>
          <w:numId w:val="6"/>
        </w:numPr>
        <w:tabs>
          <w:tab w:val="clear" w:pos="720"/>
        </w:tabs>
        <w:ind w:left="378"/>
        <w:rPr>
          <w:lang w:val="en-US"/>
        </w:rPr>
      </w:pPr>
      <w:proofErr w:type="spellStart"/>
      <w:r>
        <w:rPr>
          <w:lang w:val="en-US"/>
        </w:rPr>
        <w:t>Eremin</w:t>
      </w:r>
      <w:proofErr w:type="spellEnd"/>
      <w:r>
        <w:rPr>
          <w:lang w:val="en-US"/>
        </w:rPr>
        <w:t xml:space="preserve"> I.I. </w:t>
      </w:r>
      <w:proofErr w:type="spellStart"/>
      <w:r>
        <w:rPr>
          <w:lang w:val="en-US"/>
        </w:rPr>
        <w:t>Fejerovskie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metody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dlya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linejnoj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vypukloj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optimizatsii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Fejer</w:t>
      </w:r>
      <w:proofErr w:type="spellEnd"/>
      <w:r>
        <w:rPr>
          <w:lang w:val="en-US"/>
        </w:rPr>
        <w:t xml:space="preserve"> Methods for Problems of Convex and Linear Optimization]. Chelyabinsk, Publishing of the South Ural State University, 2009. </w:t>
      </w:r>
      <w:proofErr w:type="gramStart"/>
      <w:r>
        <w:rPr>
          <w:lang w:val="en-US"/>
        </w:rPr>
        <w:t>200</w:t>
      </w:r>
      <w:proofErr w:type="gramEnd"/>
      <w:r>
        <w:rPr>
          <w:lang w:val="en-US"/>
        </w:rPr>
        <w:t> p.</w:t>
      </w:r>
    </w:p>
    <w:p w:rsidR="00BF62E7" w:rsidRDefault="00BF62E7" w:rsidP="00FC6045">
      <w:pPr>
        <w:pStyle w:val="a"/>
        <w:numPr>
          <w:ilvl w:val="0"/>
          <w:numId w:val="6"/>
        </w:numPr>
        <w:tabs>
          <w:tab w:val="clear" w:pos="720"/>
        </w:tabs>
        <w:ind w:left="378"/>
        <w:rPr>
          <w:lang w:val="en-US"/>
        </w:rPr>
      </w:pPr>
      <w:r>
        <w:rPr>
          <w:lang w:val="en-US"/>
        </w:rPr>
        <w:t xml:space="preserve">Levin V.K. </w:t>
      </w:r>
      <w:proofErr w:type="spellStart"/>
      <w:r>
        <w:rPr>
          <w:lang w:val="en-US"/>
        </w:rPr>
        <w:t>Otechestvennye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superkomputery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semejstva</w:t>
      </w:r>
      <w:proofErr w:type="spellEnd"/>
      <w:r>
        <w:rPr>
          <w:lang w:val="en-US"/>
        </w:rPr>
        <w:t xml:space="preserve"> MVS [National Family of MVS S</w:t>
      </w:r>
      <w:r>
        <w:rPr>
          <w:lang w:val="en-US"/>
        </w:rPr>
        <w:t>u</w:t>
      </w:r>
      <w:r>
        <w:rPr>
          <w:lang w:val="en-US"/>
        </w:rPr>
        <w:t>percomputers]. URL: http://parallel.ru/mvs/levin.html (accessed: 27.05.2012).</w:t>
      </w:r>
    </w:p>
    <w:p w:rsidR="00BF62E7" w:rsidRDefault="00BF62E7" w:rsidP="00FC6045">
      <w:pPr>
        <w:pStyle w:val="a"/>
        <w:numPr>
          <w:ilvl w:val="0"/>
          <w:numId w:val="6"/>
        </w:numPr>
        <w:tabs>
          <w:tab w:val="clear" w:pos="720"/>
        </w:tabs>
        <w:ind w:left="378"/>
        <w:rPr>
          <w:lang w:val="en-US"/>
        </w:rPr>
      </w:pPr>
      <w:r>
        <w:rPr>
          <w:lang w:val="en-US"/>
        </w:rPr>
        <w:t xml:space="preserve">Akimova E.N., </w:t>
      </w:r>
      <w:proofErr w:type="spellStart"/>
      <w:r>
        <w:rPr>
          <w:lang w:val="en-US"/>
        </w:rPr>
        <w:t>Belousov</w:t>
      </w:r>
      <w:proofErr w:type="spellEnd"/>
      <w:r>
        <w:rPr>
          <w:lang w:val="en-US"/>
        </w:rPr>
        <w:t xml:space="preserve"> D.V. </w:t>
      </w:r>
      <w:proofErr w:type="spellStart"/>
      <w:r>
        <w:rPr>
          <w:lang w:val="en-US"/>
        </w:rPr>
        <w:t>Rasparallelivanie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resheniya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lineynoy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obratnoy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zadachi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MVS-1000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graficheskikh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protsessorakh</w:t>
      </w:r>
      <w:proofErr w:type="spellEnd"/>
      <w:r>
        <w:rPr>
          <w:lang w:val="en-US"/>
        </w:rPr>
        <w:t xml:space="preserve"> [Parallelization of linear inverse problem on the MVS-1000 and GPUs]. </w:t>
      </w:r>
      <w:proofErr w:type="spellStart"/>
      <w:r>
        <w:rPr>
          <w:lang w:val="en-US"/>
        </w:rPr>
        <w:t>Parallelnye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vychislitelnye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tekhnologii</w:t>
      </w:r>
      <w:proofErr w:type="spellEnd"/>
      <w:r>
        <w:rPr>
          <w:lang w:val="en-US"/>
        </w:rPr>
        <w:t xml:space="preserve"> (PaVT'2010): Trudy </w:t>
      </w:r>
      <w:proofErr w:type="spellStart"/>
      <w:r>
        <w:rPr>
          <w:lang w:val="en-US"/>
        </w:rPr>
        <w:t>mezhd</w:t>
      </w:r>
      <w:r>
        <w:rPr>
          <w:lang w:val="en-US"/>
        </w:rPr>
        <w:t>u</w:t>
      </w:r>
      <w:r>
        <w:rPr>
          <w:lang w:val="en-US"/>
        </w:rPr>
        <w:t>narodnoj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nauchnoj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konferentsii</w:t>
      </w:r>
      <w:proofErr w:type="spellEnd"/>
      <w:r>
        <w:rPr>
          <w:lang w:val="en-US"/>
        </w:rPr>
        <w:t xml:space="preserve"> (Ufa, 29 </w:t>
      </w:r>
      <w:proofErr w:type="spellStart"/>
      <w:proofErr w:type="gramStart"/>
      <w:r>
        <w:rPr>
          <w:lang w:val="en-US"/>
        </w:rPr>
        <w:t>marta</w:t>
      </w:r>
      <w:proofErr w:type="spellEnd"/>
      <w:proofErr w:type="gramEnd"/>
      <w:r>
        <w:rPr>
          <w:lang w:val="en-US"/>
        </w:rPr>
        <w:t xml:space="preserve"> – 2 </w:t>
      </w:r>
      <w:proofErr w:type="spellStart"/>
      <w:r>
        <w:rPr>
          <w:lang w:val="en-US"/>
        </w:rPr>
        <w:t>aprelya</w:t>
      </w:r>
      <w:proofErr w:type="spellEnd"/>
      <w:r>
        <w:rPr>
          <w:lang w:val="en-US"/>
        </w:rPr>
        <w:t xml:space="preserve"> 2010) [Parallel Computational Technologies (PCT'2010): Proceedings of the International Scientific Conference (Ufa, Ru</w:t>
      </w:r>
      <w:r>
        <w:rPr>
          <w:lang w:val="en-US"/>
        </w:rPr>
        <w:t>s</w:t>
      </w:r>
      <w:r>
        <w:rPr>
          <w:lang w:val="en-US"/>
        </w:rPr>
        <w:t>sia, March, 29 – April, 2, 2010)]. Chelyabinsk, Publishing of the South Ural State University, 2010. P. 18–27.</w:t>
      </w:r>
    </w:p>
    <w:p w:rsidR="00BF62E7" w:rsidRDefault="00BF62E7" w:rsidP="00FC6045">
      <w:pPr>
        <w:pStyle w:val="a"/>
        <w:numPr>
          <w:ilvl w:val="0"/>
          <w:numId w:val="6"/>
        </w:numPr>
        <w:tabs>
          <w:tab w:val="clear" w:pos="720"/>
        </w:tabs>
        <w:ind w:left="378"/>
        <w:rPr>
          <w:lang w:val="en-US"/>
        </w:rPr>
      </w:pPr>
      <w:r>
        <w:rPr>
          <w:lang w:val="en-US"/>
        </w:rPr>
        <w:t>Sokolinsky L.B. Organization of Parallel Query Processing in Multiprocessor Database M</w:t>
      </w:r>
      <w:r>
        <w:rPr>
          <w:lang w:val="en-US"/>
        </w:rPr>
        <w:t>a</w:t>
      </w:r>
      <w:r>
        <w:rPr>
          <w:lang w:val="en-US"/>
        </w:rPr>
        <w:t>chines with Hierarchical Architecture // Programming and Computer Software. 2001. Vol. 27, No. 6. P. 297–308.</w:t>
      </w:r>
    </w:p>
    <w:p w:rsidR="00BF62E7" w:rsidRDefault="00BF62E7" w:rsidP="00FC6045">
      <w:pPr>
        <w:pStyle w:val="a"/>
        <w:numPr>
          <w:ilvl w:val="0"/>
          <w:numId w:val="6"/>
        </w:numPr>
        <w:tabs>
          <w:tab w:val="clear" w:pos="720"/>
        </w:tabs>
        <w:ind w:left="378"/>
        <w:rPr>
          <w:lang w:val="en-US"/>
        </w:rPr>
      </w:pPr>
      <w:r>
        <w:rPr>
          <w:lang w:val="en-US"/>
        </w:rPr>
        <w:t xml:space="preserve">Amit Y. 2D Object Detection and Recognition: models, algorithms and networks. MIT Press, 2002. </w:t>
      </w:r>
      <w:proofErr w:type="gramStart"/>
      <w:r>
        <w:rPr>
          <w:lang w:val="en-US"/>
        </w:rPr>
        <w:t>325</w:t>
      </w:r>
      <w:proofErr w:type="gramEnd"/>
      <w:r>
        <w:rPr>
          <w:lang w:val="en-US"/>
        </w:rPr>
        <w:t> p.</w:t>
      </w:r>
    </w:p>
    <w:p w:rsidR="00BF62E7" w:rsidRDefault="00BF62E7" w:rsidP="00FC6045">
      <w:pPr>
        <w:pStyle w:val="a"/>
        <w:numPr>
          <w:ilvl w:val="0"/>
          <w:numId w:val="6"/>
        </w:numPr>
        <w:tabs>
          <w:tab w:val="clear" w:pos="720"/>
        </w:tabs>
        <w:ind w:left="378"/>
        <w:rPr>
          <w:lang w:val="en-US"/>
        </w:rPr>
      </w:pPr>
      <w:proofErr w:type="spellStart"/>
      <w:r>
        <w:rPr>
          <w:lang w:val="en-US"/>
        </w:rPr>
        <w:t>Cadez</w:t>
      </w:r>
      <w:proofErr w:type="spellEnd"/>
      <w:r>
        <w:rPr>
          <w:lang w:val="en-US"/>
        </w:rPr>
        <w:t> I., Heckerman D., Meek C., et al. Visualization of Navigation Patterns on a Web Site Using Model Based Clustering. Technical Report MSR</w:t>
      </w:r>
      <w:r>
        <w:rPr>
          <w:lang w:val="en-US"/>
        </w:rPr>
        <w:noBreakHyphen/>
        <w:t>TR</w:t>
      </w:r>
      <w:r>
        <w:rPr>
          <w:lang w:val="en-US"/>
        </w:rPr>
        <w:noBreakHyphen/>
        <w:t>00</w:t>
      </w:r>
      <w:r>
        <w:rPr>
          <w:lang w:val="en-US"/>
        </w:rPr>
        <w:noBreakHyphen/>
        <w:t>18. Microsoft Research. 2000. URL: http://research.microsoft.com/pubs/69752/tr-2000-18.pdf (accessed: 13.12.2009).</w:t>
      </w:r>
    </w:p>
    <w:p w:rsidR="00BF62E7" w:rsidRDefault="00BF62E7" w:rsidP="00FC6045">
      <w:pPr>
        <w:pStyle w:val="a"/>
        <w:numPr>
          <w:ilvl w:val="0"/>
          <w:numId w:val="6"/>
        </w:numPr>
        <w:tabs>
          <w:tab w:val="clear" w:pos="720"/>
        </w:tabs>
        <w:ind w:left="378"/>
        <w:rPr>
          <w:lang w:val="en-US"/>
        </w:rPr>
      </w:pPr>
      <w:r>
        <w:rPr>
          <w:lang w:val="en-US"/>
        </w:rPr>
        <w:t>Levshin D.V., Markov A.S. Algorithms for Integrating PostgreSQL with the Semantic Web // Programming and Computer Software. 2009. Vol. 35, No. 3. P. 136–144.</w:t>
      </w:r>
    </w:p>
    <w:p w:rsidR="00BF62E7" w:rsidRPr="00FC6045" w:rsidRDefault="00BF62E7" w:rsidP="00FC6045">
      <w:pPr>
        <w:pStyle w:val="a"/>
        <w:numPr>
          <w:ilvl w:val="0"/>
          <w:numId w:val="6"/>
        </w:numPr>
        <w:tabs>
          <w:tab w:val="clear" w:pos="720"/>
        </w:tabs>
        <w:ind w:left="378"/>
        <w:rPr>
          <w:lang w:val="en-US"/>
        </w:rPr>
      </w:pPr>
      <w:proofErr w:type="spellStart"/>
      <w:r>
        <w:rPr>
          <w:lang w:val="en-US"/>
        </w:rPr>
        <w:t>Stonebraker</w:t>
      </w:r>
      <w:proofErr w:type="spellEnd"/>
      <w:r>
        <w:rPr>
          <w:lang w:val="en-US"/>
        </w:rPr>
        <w:t xml:space="preserve"> M., </w:t>
      </w:r>
      <w:proofErr w:type="spellStart"/>
      <w:r>
        <w:rPr>
          <w:lang w:val="en-US"/>
        </w:rPr>
        <w:t>Kemnitz</w:t>
      </w:r>
      <w:proofErr w:type="spellEnd"/>
      <w:r>
        <w:rPr>
          <w:lang w:val="en-US"/>
        </w:rPr>
        <w:t> G. The POSTGRES Next-generation Database Management System // Communications of the ACM. 1991. Vol. 34, No. 10. P. 78–92.</w:t>
      </w:r>
    </w:p>
    <w:sectPr w:rsidR="00BF62E7" w:rsidRPr="00FC6045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C8" w:rsidRDefault="009C0CC8">
      <w:r>
        <w:separator/>
      </w:r>
    </w:p>
  </w:endnote>
  <w:endnote w:type="continuationSeparator" w:id="0">
    <w:p w:rsidR="009C0CC8" w:rsidRDefault="009C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C8" w:rsidRDefault="009C0CC8">
      <w:r>
        <w:separator/>
      </w:r>
    </w:p>
  </w:footnote>
  <w:footnote w:type="continuationSeparator" w:id="0">
    <w:p w:rsidR="009C0CC8" w:rsidRDefault="009C0CC8">
      <w:r>
        <w:continuationSeparator/>
      </w:r>
    </w:p>
  </w:footnote>
  <w:footnote w:id="1">
    <w:p w:rsidR="00BF62E7" w:rsidRDefault="00BF62E7">
      <w:pPr>
        <w:pStyle w:val="af4"/>
        <w:jc w:val="both"/>
      </w:pPr>
      <w:r>
        <w:rPr>
          <w:rStyle w:val="a8"/>
        </w:rPr>
        <w:t>*</w:t>
      </w:r>
      <w:r w:rsidR="00A37519">
        <w:t xml:space="preserve"> </w:t>
      </w:r>
      <w:r w:rsidR="00A37519">
        <w:t>Информация о финансовой поддержке помещается в виде сноски к названию статьи</w:t>
      </w:r>
      <w:r>
        <w:t>.</w:t>
      </w:r>
    </w:p>
  </w:footnote>
  <w:footnote w:id="2">
    <w:p w:rsidR="00BF62E7" w:rsidRDefault="00BF62E7">
      <w:pPr>
        <w:pStyle w:val="af4"/>
      </w:pPr>
      <w:r>
        <w:rPr>
          <w:rStyle w:val="a8"/>
        </w:rPr>
        <w:footnoteRef/>
      </w:r>
      <w:r>
        <w:t xml:space="preserve"> Нумерация сносок начинается заново на каждой странице.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027BC5"/>
    <w:multiLevelType w:val="hybridMultilevel"/>
    <w:tmpl w:val="21BA1E3C"/>
    <w:name w:val="WW8Num32"/>
    <w:lvl w:ilvl="0" w:tplc="58B6A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C49"/>
    <w:multiLevelType w:val="hybridMultilevel"/>
    <w:tmpl w:val="9E1050D2"/>
    <w:name w:val="WW8Num32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D2F3D92"/>
    <w:multiLevelType w:val="hybridMultilevel"/>
    <w:tmpl w:val="9CB43B40"/>
    <w:lvl w:ilvl="0" w:tplc="68AADF78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64"/>
    <w:rsid w:val="002960C5"/>
    <w:rsid w:val="002F11BD"/>
    <w:rsid w:val="003A40C1"/>
    <w:rsid w:val="004323A1"/>
    <w:rsid w:val="004C671C"/>
    <w:rsid w:val="0064401D"/>
    <w:rsid w:val="00795D27"/>
    <w:rsid w:val="007C6D64"/>
    <w:rsid w:val="00851893"/>
    <w:rsid w:val="009C0CC8"/>
    <w:rsid w:val="00A37519"/>
    <w:rsid w:val="00BC480B"/>
    <w:rsid w:val="00BF62E7"/>
    <w:rsid w:val="00D642F8"/>
    <w:rsid w:val="00F03470"/>
    <w:rsid w:val="00F644E5"/>
    <w:rsid w:val="00F6707F"/>
    <w:rsid w:val="00FB2BDE"/>
    <w:rsid w:val="00F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C60DA714-009C-48C3-971D-99158819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2"/>
      <w:szCs w:val="24"/>
      <w:lang w:eastAsia="zh-CN"/>
    </w:rPr>
  </w:style>
  <w:style w:type="paragraph" w:styleId="1">
    <w:name w:val="heading 1"/>
    <w:basedOn w:val="a0"/>
    <w:next w:val="21"/>
    <w:qFormat/>
    <w:pPr>
      <w:keepNext/>
      <w:spacing w:before="240" w:after="240"/>
      <w:outlineLvl w:val="0"/>
    </w:pPr>
    <w:rPr>
      <w:b/>
      <w:sz w:val="28"/>
      <w:szCs w:val="28"/>
    </w:rPr>
  </w:style>
  <w:style w:type="paragraph" w:styleId="2">
    <w:name w:val="heading 2"/>
    <w:basedOn w:val="21"/>
    <w:next w:val="21"/>
    <w:qFormat/>
    <w:pPr>
      <w:keepNext/>
      <w:spacing w:before="240" w:after="240"/>
      <w:ind w:firstLine="0"/>
      <w:jc w:val="left"/>
      <w:outlineLvl w:val="1"/>
    </w:pPr>
    <w:rPr>
      <w:b/>
      <w:bCs/>
      <w:iCs/>
      <w:sz w:val="24"/>
      <w:szCs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5z0">
    <w:name w:val="WW8Num15z0"/>
    <w:rPr>
      <w:rFonts w:ascii="Book Antiqua" w:hAnsi="Book Antiqua" w:cs="Book Antiqua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MTEquationSection">
    <w:name w:val="MTEquationSection"/>
    <w:rPr>
      <w:vanish w:val="0"/>
      <w:color w:val="FF0000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7">
    <w:name w:val="&quot;Доказательство&quot;"/>
    <w:rPr>
      <w:spacing w:val="40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EndnoteCharacters">
    <w:name w:val="Endnote Characters"/>
  </w:style>
  <w:style w:type="character" w:customStyle="1" w:styleId="12">
    <w:name w:val="Заголовок 1 Знак"/>
    <w:rPr>
      <w:b/>
      <w:sz w:val="28"/>
      <w:szCs w:val="28"/>
    </w:rPr>
  </w:style>
  <w:style w:type="character" w:customStyle="1" w:styleId="aa">
    <w:name w:val="Литература Знак"/>
    <w:rPr>
      <w:sz w:val="22"/>
      <w:szCs w:val="22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Заголовок"/>
    <w:basedOn w:val="a0"/>
    <w:next w:val="ae"/>
    <w:pPr>
      <w:jc w:val="center"/>
    </w:pPr>
    <w:rPr>
      <w:b/>
      <w:sz w:val="32"/>
      <w:szCs w:val="32"/>
    </w:rPr>
  </w:style>
  <w:style w:type="paragraph" w:styleId="af">
    <w:name w:val="Body Text"/>
    <w:basedOn w:val="a0"/>
    <w:pPr>
      <w:ind w:firstLine="397"/>
      <w:jc w:val="both"/>
    </w:pPr>
    <w:rPr>
      <w:szCs w:val="22"/>
    </w:rPr>
  </w:style>
  <w:style w:type="paragraph" w:styleId="af0">
    <w:name w:val="List"/>
    <w:basedOn w:val="af"/>
  </w:style>
  <w:style w:type="paragraph" w:styleId="af1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customStyle="1" w:styleId="21">
    <w:name w:val="Основной текст 21"/>
    <w:basedOn w:val="af"/>
    <w:next w:val="af"/>
    <w:rPr>
      <w:sz w:val="20"/>
      <w:szCs w:val="20"/>
    </w:rPr>
  </w:style>
  <w:style w:type="paragraph" w:customStyle="1" w:styleId="Heading">
    <w:name w:val="Heading"/>
    <w:basedOn w:val="a0"/>
    <w:next w:val="a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0"/>
    <w:pPr>
      <w:suppressLineNumbers/>
    </w:pPr>
  </w:style>
  <w:style w:type="paragraph" w:styleId="af2">
    <w:name w:val="header"/>
    <w:basedOn w:val="a0"/>
    <w:pPr>
      <w:jc w:val="center"/>
    </w:pPr>
    <w:rPr>
      <w:sz w:val="18"/>
      <w:szCs w:val="18"/>
    </w:rPr>
  </w:style>
  <w:style w:type="paragraph" w:styleId="af3">
    <w:name w:val="footer"/>
    <w:basedOn w:val="a0"/>
  </w:style>
  <w:style w:type="paragraph" w:styleId="af4">
    <w:name w:val="footnote text"/>
    <w:basedOn w:val="a0"/>
    <w:rPr>
      <w:sz w:val="20"/>
      <w:szCs w:val="20"/>
    </w:rPr>
  </w:style>
  <w:style w:type="paragraph" w:customStyle="1" w:styleId="14">
    <w:name w:val="Название объекта1"/>
    <w:basedOn w:val="a0"/>
    <w:next w:val="a0"/>
    <w:rPr>
      <w:b/>
      <w:bCs/>
      <w:sz w:val="20"/>
      <w:szCs w:val="20"/>
    </w:rPr>
  </w:style>
  <w:style w:type="paragraph" w:customStyle="1" w:styleId="MTDisplayEquation">
    <w:name w:val="MTDisplayEquation"/>
    <w:basedOn w:val="a0"/>
    <w:next w:val="af"/>
    <w:pPr>
      <w:spacing w:before="120" w:after="120"/>
    </w:pPr>
  </w:style>
  <w:style w:type="paragraph" w:styleId="af5">
    <w:name w:val="Balloon Text"/>
    <w:basedOn w:val="a0"/>
    <w:rPr>
      <w:rFonts w:ascii="Tahoma" w:hAnsi="Tahoma" w:cs="Tahoma"/>
      <w:sz w:val="16"/>
      <w:szCs w:val="16"/>
    </w:rPr>
  </w:style>
  <w:style w:type="paragraph" w:styleId="ae">
    <w:name w:val="Subtitle"/>
    <w:basedOn w:val="a0"/>
    <w:next w:val="af6"/>
    <w:qFormat/>
    <w:pPr>
      <w:spacing w:after="120"/>
      <w:jc w:val="center"/>
    </w:pPr>
    <w:rPr>
      <w:sz w:val="32"/>
      <w:szCs w:val="32"/>
    </w:rPr>
  </w:style>
  <w:style w:type="paragraph" w:customStyle="1" w:styleId="af6">
    <w:name w:val="Авторы"/>
    <w:basedOn w:val="a0"/>
    <w:next w:val="af7"/>
    <w:pPr>
      <w:jc w:val="center"/>
    </w:pPr>
    <w:rPr>
      <w:sz w:val="24"/>
    </w:rPr>
  </w:style>
  <w:style w:type="paragraph" w:customStyle="1" w:styleId="Arial">
    <w:name w:val="Стиль Авторы + Arial"/>
    <w:basedOn w:val="af6"/>
    <w:rPr>
      <w:bCs/>
    </w:rPr>
  </w:style>
  <w:style w:type="paragraph" w:customStyle="1" w:styleId="af7">
    <w:name w:val="Аннотация"/>
    <w:basedOn w:val="a0"/>
    <w:pPr>
      <w:spacing w:after="320"/>
      <w:ind w:left="851" w:right="851"/>
      <w:jc w:val="both"/>
    </w:pPr>
    <w:rPr>
      <w:sz w:val="20"/>
      <w:szCs w:val="20"/>
    </w:rPr>
  </w:style>
  <w:style w:type="paragraph" w:customStyle="1" w:styleId="15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Литература"/>
    <w:basedOn w:val="a0"/>
    <w:pPr>
      <w:numPr>
        <w:numId w:val="4"/>
      </w:numPr>
      <w:tabs>
        <w:tab w:val="left" w:pos="360"/>
      </w:tabs>
      <w:spacing w:after="120"/>
    </w:pPr>
    <w:rPr>
      <w:szCs w:val="22"/>
    </w:r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8">
    <w:name w:val="annotation subject"/>
    <w:basedOn w:val="16"/>
    <w:next w:val="16"/>
    <w:rPr>
      <w:b/>
      <w:bCs/>
    </w:rPr>
  </w:style>
  <w:style w:type="paragraph" w:customStyle="1" w:styleId="17">
    <w:name w:val="Нумерованный список1"/>
    <w:basedOn w:val="a0"/>
    <w:pPr>
      <w:numPr>
        <w:numId w:val="2"/>
      </w:numPr>
      <w:spacing w:after="120"/>
      <w:ind w:left="720" w:hanging="720"/>
    </w:pPr>
  </w:style>
  <w:style w:type="paragraph" w:customStyle="1" w:styleId="af9">
    <w:name w:val="Подпись к рисунку"/>
    <w:basedOn w:val="14"/>
    <w:next w:val="af"/>
    <w:pPr>
      <w:keepNext/>
      <w:spacing w:before="120" w:after="240"/>
      <w:ind w:left="669" w:hanging="669"/>
    </w:pPr>
    <w:rPr>
      <w:b w:val="0"/>
    </w:rPr>
  </w:style>
  <w:style w:type="paragraph" w:styleId="afa">
    <w:name w:val="table of figures"/>
    <w:basedOn w:val="a0"/>
    <w:next w:val="af9"/>
    <w:pPr>
      <w:keepNext/>
      <w:spacing w:before="240"/>
      <w:jc w:val="center"/>
    </w:pPr>
    <w:rPr>
      <w:sz w:val="20"/>
    </w:rPr>
  </w:style>
  <w:style w:type="paragraph" w:customStyle="1" w:styleId="afb">
    <w:name w:val="Определение"/>
    <w:basedOn w:val="af"/>
    <w:next w:val="af"/>
    <w:pPr>
      <w:spacing w:before="120" w:after="120"/>
    </w:pPr>
  </w:style>
  <w:style w:type="paragraph" w:styleId="HTML">
    <w:name w:val="HTML Preformatted"/>
    <w:basedOn w:val="a0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f"/>
  </w:style>
  <w:style w:type="paragraph" w:customStyle="1" w:styleId="afc">
    <w:name w:val="Содержимое таблицы"/>
    <w:basedOn w:val="a0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styleId="afe">
    <w:name w:val="Title"/>
    <w:basedOn w:val="a0"/>
    <w:next w:val="ae"/>
    <w:link w:val="aff"/>
    <w:qFormat/>
    <w:rsid w:val="00A37519"/>
    <w:pPr>
      <w:jc w:val="center"/>
    </w:pPr>
    <w:rPr>
      <w:b/>
      <w:sz w:val="32"/>
      <w:szCs w:val="32"/>
      <w:lang w:eastAsia="ar-SA"/>
    </w:rPr>
  </w:style>
  <w:style w:type="character" w:customStyle="1" w:styleId="aff">
    <w:name w:val="Название Знак"/>
    <w:basedOn w:val="a1"/>
    <w:link w:val="afe"/>
    <w:rsid w:val="00A37519"/>
    <w:rPr>
      <w:b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оформлению статей на конференцию ПаВТ</vt:lpstr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оформлению статей на конференцию ПаВТ</dc:title>
  <dc:subject>Оформление статей на конференцию</dc:subject>
  <dc:creator>ПаВТ</dc:creator>
  <cp:keywords>статья, конференция, ПаВТ</cp:keywords>
  <dc:description>С замечаниями и предложениями по содержанию данного документа необходимо обращаться по адресу pavt.conf@gmail.com.</dc:description>
  <cp:lastModifiedBy>Михаил Цымблер</cp:lastModifiedBy>
  <cp:revision>7</cp:revision>
  <cp:lastPrinted>2010-10-13T13:20:00Z</cp:lastPrinted>
  <dcterms:created xsi:type="dcterms:W3CDTF">2015-08-01T14:49:00Z</dcterms:created>
  <dcterms:modified xsi:type="dcterms:W3CDTF">2015-08-01T16:51:00Z</dcterms:modified>
</cp:coreProperties>
</file>